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FB40" w14:textId="4BBA4E9A" w:rsidR="009B58F2" w:rsidRPr="00164C75" w:rsidRDefault="00A81C7B" w:rsidP="009B58F2">
      <w:pPr>
        <w:pStyle w:val="BodyText"/>
        <w:ind w:left="4320"/>
        <w:rPr>
          <w:b/>
          <w:bCs/>
          <w:noProof/>
          <w:sz w:val="18"/>
          <w:szCs w:val="18"/>
          <w:lang w:val="es-419"/>
        </w:rPr>
      </w:pPr>
      <w:r w:rsidRPr="00164C75">
        <w:rPr>
          <w:b/>
          <w:bCs/>
          <w:noProof/>
          <w:sz w:val="18"/>
          <w:szCs w:val="18"/>
          <w:lang w:val="es-419"/>
        </w:rPr>
        <w:drawing>
          <wp:anchor distT="0" distB="0" distL="114300" distR="114300" simplePos="0" relativeHeight="251658240" behindDoc="0" locked="0" layoutInCell="1" allowOverlap="1" wp14:anchorId="64D6FE55" wp14:editId="26E7EF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0450" cy="306705"/>
            <wp:effectExtent l="0" t="0" r="0" b="0"/>
            <wp:wrapThrough wrapText="bothSides">
              <wp:wrapPolygon edited="1">
                <wp:start x="0" y="0"/>
                <wp:lineTo x="-295" y="26832"/>
                <wp:lineTo x="22659" y="25043"/>
                <wp:lineTo x="22895" y="-894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 4C HC Germantown Hospital Logo CMY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4350" cy="31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8F2" w:rsidRPr="00164C75">
        <w:rPr>
          <w:b/>
          <w:bCs/>
          <w:noProof/>
          <w:sz w:val="18"/>
          <w:szCs w:val="18"/>
          <w:lang w:val="es-419"/>
        </w:rPr>
        <w:t>La tabla que aparece a continuación presenta el rango de precios, establecidos a través del tiempo, de los servicios más comunmente brindados por Holy Cross Germantown Hospital a pacientes hospitalizados</w:t>
      </w:r>
    </w:p>
    <w:p w14:paraId="1948A5DC" w14:textId="65D11D9A" w:rsidR="009B58F2" w:rsidRPr="00164C75" w:rsidRDefault="009B58F2" w:rsidP="009B58F2">
      <w:pPr>
        <w:pStyle w:val="BodyText"/>
        <w:spacing w:after="120"/>
        <w:rPr>
          <w:b/>
          <w:bCs/>
          <w:sz w:val="18"/>
          <w:szCs w:val="18"/>
          <w:lang w:val="es-419"/>
        </w:rPr>
      </w:pPr>
      <w:r w:rsidRPr="00164C75">
        <w:rPr>
          <w:b/>
          <w:bCs/>
          <w:noProof/>
          <w:sz w:val="18"/>
          <w:szCs w:val="18"/>
          <w:lang w:val="es-419"/>
        </w:rPr>
        <w:t xml:space="preserve">y externos.  La tabla también presenta el precio promedio por cada servicio.  Esta tabla se actualiza cada </w:t>
      </w:r>
      <w:r w:rsidRPr="00164C75">
        <w:rPr>
          <w:b/>
          <w:bCs/>
          <w:noProof/>
          <w:sz w:val="18"/>
          <w:szCs w:val="18"/>
          <w:u w:val="single"/>
          <w:lang w:val="es-419"/>
        </w:rPr>
        <w:t>trimestre</w:t>
      </w:r>
      <w:r w:rsidRPr="00164C75">
        <w:rPr>
          <w:b/>
          <w:bCs/>
          <w:noProof/>
          <w:sz w:val="18"/>
          <w:szCs w:val="18"/>
          <w:lang w:val="es-419"/>
        </w:rPr>
        <w:t xml:space="preserve">.  Los precios </w:t>
      </w:r>
      <w:r w:rsidRPr="00164C75">
        <w:rPr>
          <w:b/>
          <w:bCs/>
          <w:sz w:val="18"/>
          <w:szCs w:val="18"/>
          <w:lang w:val="es-419"/>
        </w:rPr>
        <w:t xml:space="preserve">están basados en los cargos contraídos por los pacientes por estos servicios durante los últimos </w:t>
      </w:r>
      <w:r w:rsidR="00975699">
        <w:rPr>
          <w:b/>
          <w:bCs/>
          <w:sz w:val="18"/>
          <w:szCs w:val="18"/>
          <w:lang w:val="es-419"/>
        </w:rPr>
        <w:t>tres</w:t>
      </w:r>
      <w:r w:rsidRPr="00164C75">
        <w:rPr>
          <w:b/>
          <w:bCs/>
          <w:sz w:val="18"/>
          <w:szCs w:val="18"/>
          <w:lang w:val="es-419"/>
        </w:rPr>
        <w:t xml:space="preserve"> meses y puede ser usada por el paciente para tener una idea aproximada de los cargos que se le aplicarán por los servicios que pueda necesitar.  </w:t>
      </w:r>
      <w:r w:rsidR="00853A89" w:rsidRPr="00164C75">
        <w:rPr>
          <w:b/>
          <w:bCs/>
          <w:sz w:val="18"/>
          <w:szCs w:val="18"/>
          <w:lang w:val="es-419"/>
        </w:rPr>
        <w:t>P</w:t>
      </w:r>
      <w:r w:rsidRPr="00164C75">
        <w:rPr>
          <w:b/>
          <w:bCs/>
          <w:sz w:val="18"/>
          <w:szCs w:val="18"/>
          <w:lang w:val="es-419"/>
        </w:rPr>
        <w:t xml:space="preserve">uede suceder que los cargos finales por los servicios sean </w:t>
      </w:r>
      <w:r w:rsidR="00DA748C" w:rsidRPr="00164C75">
        <w:rPr>
          <w:b/>
          <w:bCs/>
          <w:sz w:val="18"/>
          <w:szCs w:val="18"/>
          <w:lang w:val="es-419"/>
        </w:rPr>
        <w:t>más altos o bajos</w:t>
      </w:r>
      <w:r w:rsidRPr="00164C75">
        <w:rPr>
          <w:b/>
          <w:bCs/>
          <w:sz w:val="18"/>
          <w:szCs w:val="18"/>
          <w:lang w:val="es-419"/>
        </w:rPr>
        <w:t xml:space="preserve">, dependiendo del nivel de cuidados recibido, del material médico utilizado, de los productos farmacéuticos administrados, y otros servicios dados al paciente.  Comuníquese por correo electrónico con nuestra oficina de asesoramiento financiero si necesita ayuda, o para obtener información acerca de servicios que no se hallan en la lista de abajo, al </w:t>
      </w:r>
      <w:hyperlink r:id="rId11" w:history="1">
        <w:r w:rsidRPr="00164C75">
          <w:rPr>
            <w:rStyle w:val="Hyperlink"/>
            <w:b/>
            <w:bCs/>
            <w:sz w:val="18"/>
            <w:szCs w:val="18"/>
            <w:lang w:val="es-419"/>
          </w:rPr>
          <w:t>sshsfincounseling@holycrosshealth.org</w:t>
        </w:r>
      </w:hyperlink>
      <w:r w:rsidRPr="00164C75">
        <w:rPr>
          <w:b/>
          <w:bCs/>
          <w:sz w:val="18"/>
          <w:szCs w:val="18"/>
          <w:lang w:val="es-419"/>
        </w:rPr>
        <w:t xml:space="preserve"> o por teléfono al 301-557-6195.</w:t>
      </w:r>
    </w:p>
    <w:p w14:paraId="130FBA13" w14:textId="4CCC47C2" w:rsidR="009B58F2" w:rsidRPr="00164C75" w:rsidRDefault="009B58F2" w:rsidP="009B58F2">
      <w:pPr>
        <w:pStyle w:val="BodyText"/>
        <w:rPr>
          <w:b/>
          <w:bCs/>
          <w:sz w:val="18"/>
          <w:szCs w:val="18"/>
          <w:lang w:val="es-419"/>
        </w:rPr>
      </w:pPr>
      <w:r w:rsidRPr="006679AF">
        <w:rPr>
          <w:b/>
          <w:bCs/>
          <w:sz w:val="18"/>
          <w:szCs w:val="18"/>
          <w:lang w:val="es-419"/>
        </w:rPr>
        <w:t xml:space="preserve">Las </w:t>
      </w:r>
      <w:r w:rsidR="00D075E3" w:rsidRPr="006679AF">
        <w:rPr>
          <w:b/>
          <w:bCs/>
          <w:sz w:val="18"/>
          <w:szCs w:val="18"/>
          <w:lang w:val="es-419"/>
        </w:rPr>
        <w:t xml:space="preserve">cifras de precios </w:t>
      </w:r>
      <w:r w:rsidR="00675560" w:rsidRPr="006679AF">
        <w:rPr>
          <w:b/>
          <w:bCs/>
          <w:sz w:val="18"/>
          <w:szCs w:val="18"/>
          <w:lang w:val="es-419"/>
        </w:rPr>
        <w:t>indicadas</w:t>
      </w:r>
      <w:r w:rsidRPr="006679AF">
        <w:rPr>
          <w:b/>
          <w:bCs/>
          <w:sz w:val="18"/>
          <w:szCs w:val="18"/>
          <w:lang w:val="es-419"/>
        </w:rPr>
        <w:t xml:space="preserve"> a</w:t>
      </w:r>
      <w:r w:rsidR="00AD0A1B" w:rsidRPr="006679AF">
        <w:rPr>
          <w:b/>
          <w:bCs/>
          <w:sz w:val="18"/>
          <w:szCs w:val="18"/>
          <w:lang w:val="es-419"/>
        </w:rPr>
        <w:t xml:space="preserve"> continuación</w:t>
      </w:r>
      <w:r w:rsidRPr="00164C75">
        <w:rPr>
          <w:b/>
          <w:bCs/>
          <w:sz w:val="18"/>
          <w:szCs w:val="18"/>
          <w:lang w:val="es-419"/>
        </w:rPr>
        <w:t xml:space="preserve"> sólo reflejan los cargos del hospital. Holy Cross Germantown Hospital no tiene como empleados a los médicos que realizan su práctica en el hospital, y cada grupo médico que le preste un servicio le cobrará por separado por sus servicios.  Comuníquese con estos grupos médicos directamente para obtener un estimado de los cargos.</w:t>
      </w:r>
      <w:r w:rsidR="00853A89" w:rsidRPr="00164C75">
        <w:rPr>
          <w:b/>
          <w:bCs/>
          <w:sz w:val="18"/>
          <w:szCs w:val="18"/>
          <w:lang w:val="es-419"/>
        </w:rPr>
        <w:t xml:space="preserve">  </w:t>
      </w:r>
      <w:r w:rsidRPr="00164C75">
        <w:rPr>
          <w:b/>
          <w:bCs/>
          <w:sz w:val="18"/>
          <w:szCs w:val="18"/>
          <w:lang w:val="es-419"/>
        </w:rPr>
        <w:t xml:space="preserve">(Refiérase a la página </w:t>
      </w:r>
      <w:r w:rsidR="00E11399">
        <w:rPr>
          <w:b/>
          <w:bCs/>
          <w:sz w:val="18"/>
          <w:szCs w:val="18"/>
          <w:lang w:val="es-419"/>
        </w:rPr>
        <w:t>3</w:t>
      </w:r>
      <w:r w:rsidR="00893B02">
        <w:rPr>
          <w:b/>
          <w:bCs/>
          <w:sz w:val="18"/>
          <w:szCs w:val="18"/>
          <w:lang w:val="es-419"/>
        </w:rPr>
        <w:t>.</w:t>
      </w:r>
      <w:r w:rsidRPr="00164C75">
        <w:rPr>
          <w:b/>
          <w:bCs/>
          <w:sz w:val="18"/>
          <w:szCs w:val="18"/>
          <w:lang w:val="es-419"/>
        </w:rPr>
        <w:t>)</w:t>
      </w:r>
    </w:p>
    <w:p w14:paraId="5D621383" w14:textId="77777777" w:rsidR="00541C71" w:rsidRPr="00164C75" w:rsidRDefault="00541C71" w:rsidP="00541C71">
      <w:pPr>
        <w:pStyle w:val="BodyText"/>
        <w:rPr>
          <w:bCs/>
          <w:sz w:val="12"/>
          <w:szCs w:val="12"/>
          <w:lang w:val="es-419"/>
        </w:rPr>
      </w:pPr>
    </w:p>
    <w:tbl>
      <w:tblPr>
        <w:tblW w:w="1062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5"/>
        <w:gridCol w:w="1219"/>
        <w:gridCol w:w="1276"/>
        <w:gridCol w:w="1360"/>
      </w:tblGrid>
      <w:tr w:rsidR="00175DF0" w:rsidRPr="00D07B20" w14:paraId="088D2E19" w14:textId="77777777" w:rsidTr="003D13BC">
        <w:trPr>
          <w:trHeight w:val="360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169373AA" w14:textId="77777777" w:rsidR="00E45136" w:rsidRPr="00D07B20" w:rsidRDefault="00EB1F27" w:rsidP="0092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Precios de los procedimientos quirúrgicos m</w:t>
            </w:r>
            <w:r w:rsidR="00920255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á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s </w:t>
            </w:r>
            <w:r w:rsidR="00920255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comunes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para pacientes </w:t>
            </w:r>
            <w:r w:rsidR="00920255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internados </w:t>
            </w:r>
          </w:p>
          <w:p w14:paraId="31C909E4" w14:textId="6FE00892" w:rsidR="00175DF0" w:rsidRPr="00D07B20" w:rsidRDefault="00EE420A" w:rsidP="00C32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hasta 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marzo</w:t>
            </w:r>
            <w:r w:rsidR="00EB3470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de </w:t>
            </w:r>
            <w:r w:rsidR="001505D1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</w:tr>
      <w:tr w:rsidR="00C708B9" w:rsidRPr="00D07B20" w14:paraId="7FFBA882" w14:textId="77777777" w:rsidTr="009A370F">
        <w:trPr>
          <w:trHeight w:val="132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2E2663" w14:textId="77777777" w:rsidR="00C708B9" w:rsidRPr="00D07B20" w:rsidRDefault="00C708B9" w:rsidP="00113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  <w:t xml:space="preserve">Rango de fechas correspondiente: </w:t>
            </w:r>
          </w:p>
          <w:p w14:paraId="24836B60" w14:textId="308816D0" w:rsidR="00C708B9" w:rsidRPr="00D07B20" w:rsidRDefault="00DA378B" w:rsidP="00113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1 de enero de </w:t>
            </w:r>
            <w:r w:rsidR="00EB3470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  <w:r w:rsidR="00EB3470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31 de marzo de </w:t>
            </w:r>
            <w:r w:rsidR="00EB3470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AF952" w14:textId="77777777" w:rsidR="00C708B9" w:rsidRPr="00D07B20" w:rsidRDefault="00C708B9" w:rsidP="00945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Rango de precios</w:t>
            </w:r>
          </w:p>
        </w:tc>
      </w:tr>
      <w:tr w:rsidR="00E26906" w:rsidRPr="00D07B20" w14:paraId="1E5545EE" w14:textId="77777777" w:rsidTr="009A370F">
        <w:trPr>
          <w:trHeight w:val="321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7DF27BEB" w14:textId="2CC41545" w:rsidR="00E26906" w:rsidRPr="00D07B20" w:rsidRDefault="00E26906" w:rsidP="00E26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Procedimientos obstétricos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</w:tcPr>
          <w:p w14:paraId="5A88F2EF" w14:textId="7970C697" w:rsidR="00E26906" w:rsidRPr="00D07B20" w:rsidRDefault="00E26906" w:rsidP="00E2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DCE6F1" w:fill="FFFFFF"/>
          </w:tcPr>
          <w:p w14:paraId="52DCB1BC" w14:textId="767F767A" w:rsidR="00E26906" w:rsidRPr="00D07B20" w:rsidRDefault="00E26906" w:rsidP="00E2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779B5D40" w14:textId="12F12E9E" w:rsidR="00E26906" w:rsidRPr="00D07B20" w:rsidRDefault="00E26906" w:rsidP="00E2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Promedio</w:t>
            </w:r>
          </w:p>
        </w:tc>
      </w:tr>
      <w:tr w:rsidR="00DA378B" w:rsidRPr="00D07B20" w14:paraId="50828D18" w14:textId="77777777" w:rsidTr="00096544">
        <w:trPr>
          <w:trHeight w:val="249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114EA2D5" w14:textId="49962676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Cesárea sin complicaciones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DCE6F1" w:fill="FFFFFF"/>
          </w:tcPr>
          <w:p w14:paraId="10C98991" w14:textId="007DE4AA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$4,914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DCE6F1" w:fill="FFFFFF"/>
          </w:tcPr>
          <w:p w14:paraId="1EAF3E65" w14:textId="12978EEE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$10,571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43F95D71" w14:textId="1A4DB9E0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$6,723</w:t>
            </w:r>
          </w:p>
        </w:tc>
      </w:tr>
      <w:tr w:rsidR="00DA378B" w:rsidRPr="00D07B20" w14:paraId="0157D2A8" w14:textId="77777777" w:rsidTr="00096544">
        <w:trPr>
          <w:trHeight w:val="282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3CC7BB12" w14:textId="45C01853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Cesárea con complicaciones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DCE6F1" w:fill="FFFFFF"/>
          </w:tcPr>
          <w:p w14:paraId="55607DA0" w14:textId="6CDCC1C1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$5,186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DCE6F1" w:fill="FFFFFF"/>
          </w:tcPr>
          <w:p w14:paraId="71C04607" w14:textId="2554785D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$13,790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784B71C0" w14:textId="1FB75EC9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$8,241</w:t>
            </w:r>
          </w:p>
        </w:tc>
      </w:tr>
      <w:tr w:rsidR="00DA378B" w:rsidRPr="00D07B20" w14:paraId="23BF565F" w14:textId="77777777" w:rsidTr="00096544">
        <w:trPr>
          <w:trHeight w:val="264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74ADBADA" w14:textId="3819BD1E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Parto vaginal sin complicaciones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DCE6F1" w:fill="FFFFFF"/>
          </w:tcPr>
          <w:p w14:paraId="47E63B7D" w14:textId="3FA8E141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$4,921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DCE6F1" w:fill="FFFFFF"/>
          </w:tcPr>
          <w:p w14:paraId="6684F70F" w14:textId="56D16809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$9,694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1606F3B0" w14:textId="6651BA9A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$6,648</w:t>
            </w:r>
          </w:p>
        </w:tc>
      </w:tr>
      <w:tr w:rsidR="00DA378B" w:rsidRPr="00D07B20" w14:paraId="049BEC61" w14:textId="77777777" w:rsidTr="00096544">
        <w:trPr>
          <w:trHeight w:val="287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544D2258" w14:textId="02E09394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Parto vaginal con complicaciones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</w:tcPr>
          <w:p w14:paraId="2E2B77AA" w14:textId="416136FB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$5,003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DCE6F1" w:fill="FFFFFF"/>
          </w:tcPr>
          <w:p w14:paraId="549A8B99" w14:textId="5F0D4F8A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$10,025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47EA5A6D" w14:textId="57A5E351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$7,142</w:t>
            </w:r>
          </w:p>
        </w:tc>
      </w:tr>
      <w:tr w:rsidR="00003503" w:rsidRPr="00D07B20" w14:paraId="3A790FC7" w14:textId="77777777" w:rsidTr="009A370F">
        <w:trPr>
          <w:trHeight w:val="312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vAlign w:val="center"/>
            <w:hideMark/>
          </w:tcPr>
          <w:p w14:paraId="298CE80D" w14:textId="77777777" w:rsidR="00003503" w:rsidRPr="00D07B20" w:rsidRDefault="00003503" w:rsidP="00003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Procedimientos ortopédicos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  <w:vAlign w:val="bottom"/>
            <w:hideMark/>
          </w:tcPr>
          <w:p w14:paraId="1DAF1397" w14:textId="77777777" w:rsidR="00003503" w:rsidRPr="00D07B20" w:rsidRDefault="00003503" w:rsidP="00003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DCE6F1" w:fill="FFFFFF"/>
            <w:vAlign w:val="bottom"/>
            <w:hideMark/>
          </w:tcPr>
          <w:p w14:paraId="608F4BAA" w14:textId="77777777" w:rsidR="00003503" w:rsidRPr="00D07B20" w:rsidRDefault="00003503" w:rsidP="00003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vAlign w:val="bottom"/>
            <w:hideMark/>
          </w:tcPr>
          <w:p w14:paraId="7456A15B" w14:textId="77777777" w:rsidR="00003503" w:rsidRPr="00D07B20" w:rsidRDefault="00003503" w:rsidP="00003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DA378B" w:rsidRPr="00D07B20" w14:paraId="40BAD855" w14:textId="77777777" w:rsidTr="009A370F">
        <w:trPr>
          <w:trHeight w:val="255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DBFB6" w14:textId="6FE9EC83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Hemiartroplastia parcial de cadera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CF0A4F9" w14:textId="531C4CDE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$20,636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6F5C80A" w14:textId="2F909D97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$37,809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07EA77" w14:textId="75D28C6D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$26,854</w:t>
            </w:r>
          </w:p>
        </w:tc>
      </w:tr>
      <w:tr w:rsidR="00DA378B" w:rsidRPr="00D07B20" w14:paraId="77B5B2CC" w14:textId="77777777" w:rsidTr="009A370F">
        <w:trPr>
          <w:trHeight w:val="183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0A4BE" w14:textId="46451A98" w:rsidR="00DA378B" w:rsidRPr="00D07B20" w:rsidRDefault="000D35FD" w:rsidP="00DA378B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0D35FD">
              <w:rPr>
                <w:rFonts w:ascii="Arial" w:eastAsia="Times New Roman" w:hAnsi="Arial" w:cs="Arial"/>
                <w:lang w:val="es-US"/>
              </w:rPr>
              <w:t>Revisión de la artroplastia total de la rodilla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5BCCE0F" w14:textId="29622836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$11,880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73A08C4" w14:textId="35AD67C6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$93,754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6F0F96" w14:textId="5872EDB2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$59,055</w:t>
            </w:r>
          </w:p>
        </w:tc>
      </w:tr>
      <w:tr w:rsidR="00DA378B" w:rsidRPr="00D07B20" w14:paraId="0868E504" w14:textId="77777777" w:rsidTr="009A370F">
        <w:trPr>
          <w:trHeight w:val="183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A0D85" w14:textId="272DDCE2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 xml:space="preserve">Reemplazo total de cadera 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BB57C96" w14:textId="76891308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$16,694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C795517" w14:textId="7867A479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$24,998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C241F4" w14:textId="7CF93F30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$20,913</w:t>
            </w:r>
          </w:p>
        </w:tc>
      </w:tr>
      <w:tr w:rsidR="00DA378B" w:rsidRPr="00D07B20" w14:paraId="1FA4F8D3" w14:textId="77777777" w:rsidTr="009A370F">
        <w:trPr>
          <w:trHeight w:val="270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665250" w14:textId="2A688F8C" w:rsidR="00DA378B" w:rsidRPr="00D07B20" w:rsidRDefault="00DA378B" w:rsidP="00DA378B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A378B">
              <w:rPr>
                <w:rFonts w:ascii="Arial" w:hAnsi="Arial" w:cs="Arial"/>
                <w:lang w:val="es-US"/>
              </w:rPr>
              <w:t>Reemplazo total de rodilla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080A6" w14:textId="154445E9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$20,428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41745" w14:textId="23F51790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$37,836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D5B50" w14:textId="66C90C11" w:rsidR="00DA378B" w:rsidRPr="00D07B20" w:rsidRDefault="00DA378B" w:rsidP="00DA3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$30,669</w:t>
            </w:r>
          </w:p>
        </w:tc>
      </w:tr>
      <w:tr w:rsidR="007C4ECD" w:rsidRPr="00D07B20" w14:paraId="7E06E794" w14:textId="77777777" w:rsidTr="00E26906">
        <w:trPr>
          <w:trHeight w:val="360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5155628" w14:textId="7529B1E7" w:rsidR="00AA0CC0" w:rsidRPr="00AA0CC0" w:rsidRDefault="00AA0CC0" w:rsidP="00AA0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AA0CC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Precios de los procedimientos más habituales para pacientes ambulatorios</w:t>
            </w:r>
          </w:p>
          <w:p w14:paraId="3E4BD3BE" w14:textId="63A3F350" w:rsidR="007C4ECD" w:rsidRPr="00AA0CC0" w:rsidRDefault="00AA0CC0" w:rsidP="00AA0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US"/>
              </w:rPr>
            </w:pPr>
            <w:r w:rsidRPr="00AA0CC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hasta 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marzo</w:t>
            </w:r>
            <w:r w:rsidR="00DA378B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de 202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</w:tr>
      <w:tr w:rsidR="00936B40" w:rsidRPr="00D07B20" w14:paraId="3FEDC4DF" w14:textId="77777777" w:rsidTr="009A370F">
        <w:trPr>
          <w:trHeight w:val="213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CE97C3" w14:textId="77777777" w:rsidR="00936B40" w:rsidRPr="00D07B20" w:rsidRDefault="00936B40" w:rsidP="009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  <w:t xml:space="preserve">Rango de fechas correspondiente: </w:t>
            </w:r>
          </w:p>
          <w:p w14:paraId="118CF739" w14:textId="2B683E16" w:rsidR="00936B40" w:rsidRPr="00D07B20" w:rsidRDefault="006840A8" w:rsidP="009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1 de enero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31 de marzo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5132E" w14:textId="77777777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Rango de precios</w:t>
            </w:r>
          </w:p>
        </w:tc>
      </w:tr>
      <w:tr w:rsidR="00936B40" w:rsidRPr="00D07B20" w14:paraId="5563687E" w14:textId="77777777" w:rsidTr="009A370F">
        <w:trPr>
          <w:trHeight w:val="270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66C9C" w14:textId="77777777" w:rsidR="00936B40" w:rsidRPr="00D07B20" w:rsidRDefault="00936B40" w:rsidP="009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Procedimientos de oído, nariz y garganta (otorrinolaringología)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491A172" w14:textId="77777777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1EB6728" w14:textId="77777777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E15414" w14:textId="77777777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0109A3" w:rsidRPr="00D07B20" w14:paraId="096B8C27" w14:textId="77777777" w:rsidTr="009A370F">
        <w:trPr>
          <w:trHeight w:val="270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C92E5" w14:textId="77777777" w:rsidR="000109A3" w:rsidRPr="00D07B20" w:rsidRDefault="000109A3" w:rsidP="00010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Procedimiento de cirugía dental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5553" w14:textId="49B201F1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$4,776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2DD8" w14:textId="47921C27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$9,687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955F07" w14:textId="2CC177BA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$6,763</w:t>
            </w:r>
          </w:p>
        </w:tc>
      </w:tr>
      <w:tr w:rsidR="00936B40" w:rsidRPr="00D07B20" w14:paraId="0D6AE58E" w14:textId="77777777" w:rsidTr="009A370F">
        <w:trPr>
          <w:trHeight w:val="267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vAlign w:val="center"/>
          </w:tcPr>
          <w:p w14:paraId="7315993D" w14:textId="7B6A3112" w:rsidR="00936B40" w:rsidRPr="00D07B20" w:rsidRDefault="00E538DD" w:rsidP="009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Procedimientos de Gastroenterología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</w:tcPr>
          <w:p w14:paraId="1EA4AD4D" w14:textId="77432A69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DCE6F1" w:fill="FFFFFF"/>
          </w:tcPr>
          <w:p w14:paraId="2E992B6E" w14:textId="66BEFA39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4523E73D" w14:textId="4792551E" w:rsidR="00936B40" w:rsidRPr="00D07B20" w:rsidRDefault="00936B40" w:rsidP="009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0109A3" w:rsidRPr="00D07B20" w14:paraId="072B5BE3" w14:textId="77777777" w:rsidTr="009A370F">
        <w:trPr>
          <w:trHeight w:val="267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2811A44F" w14:textId="31ABED6F" w:rsidR="000109A3" w:rsidRPr="00D07B20" w:rsidRDefault="000109A3" w:rsidP="00010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US"/>
              </w:rPr>
            </w:pPr>
            <w:bookmarkStart w:id="0" w:name="_Hlk158118404"/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 xml:space="preserve">Colonoscopia con polipectomía con asa 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DCE6F1" w:fill="FFFFFF"/>
            <w:vAlign w:val="bottom"/>
          </w:tcPr>
          <w:p w14:paraId="47D94224" w14:textId="597539BD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$1,445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DCE6F1" w:fill="FFFFFF"/>
            <w:vAlign w:val="bottom"/>
          </w:tcPr>
          <w:p w14:paraId="74CB37F1" w14:textId="670342EB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$4,537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  <w:vAlign w:val="bottom"/>
          </w:tcPr>
          <w:p w14:paraId="332E02BA" w14:textId="266547BA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$3,454</w:t>
            </w:r>
          </w:p>
        </w:tc>
      </w:tr>
      <w:bookmarkEnd w:id="0"/>
      <w:tr w:rsidR="000109A3" w:rsidRPr="00D07B20" w14:paraId="7BF396D8" w14:textId="77777777" w:rsidTr="009A370F">
        <w:trPr>
          <w:trHeight w:val="267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</w:tcPr>
          <w:p w14:paraId="364C9868" w14:textId="4ECD7C15" w:rsidR="000109A3" w:rsidRPr="00D07B20" w:rsidRDefault="00604F4F" w:rsidP="00010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US"/>
              </w:rPr>
            </w:pPr>
            <w:r w:rsidRPr="00990A7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olonoscopia con biopsia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DCE6F1" w:fill="FFFFFF"/>
            <w:vAlign w:val="bottom"/>
          </w:tcPr>
          <w:p w14:paraId="337FA0A7" w14:textId="671726C9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$2,288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DCE6F1" w:fill="FFFFFF"/>
            <w:vAlign w:val="bottom"/>
          </w:tcPr>
          <w:p w14:paraId="4242FC76" w14:textId="3EDD0030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$6,590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DCE6F1" w:fill="FFFFFF"/>
            <w:vAlign w:val="bottom"/>
          </w:tcPr>
          <w:p w14:paraId="1EDC13E2" w14:textId="6CEB9277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$3,924</w:t>
            </w:r>
          </w:p>
        </w:tc>
      </w:tr>
      <w:tr w:rsidR="000109A3" w:rsidRPr="00D07B20" w14:paraId="314D0729" w14:textId="77777777" w:rsidTr="00EA1637">
        <w:trPr>
          <w:trHeight w:val="267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</w:tcPr>
          <w:p w14:paraId="1159EB67" w14:textId="5D933221" w:rsidR="000109A3" w:rsidRPr="0039550E" w:rsidRDefault="000109A3" w:rsidP="00010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Esofagogastroduodenoscopia (EGD) con biopsia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  <w:vAlign w:val="bottom"/>
          </w:tcPr>
          <w:p w14:paraId="41A88591" w14:textId="662A3D05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$2,314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DCE6F1" w:fill="FFFFFF"/>
            <w:vAlign w:val="bottom"/>
          </w:tcPr>
          <w:p w14:paraId="7918D986" w14:textId="5DA35154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$9,383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vAlign w:val="bottom"/>
          </w:tcPr>
          <w:p w14:paraId="495DDF51" w14:textId="45FC044F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>
              <w:rPr>
                <w:rFonts w:ascii="Arial" w:hAnsi="Arial" w:cs="Arial"/>
                <w:color w:val="000000"/>
              </w:rPr>
              <w:t>$4,129</w:t>
            </w:r>
          </w:p>
        </w:tc>
      </w:tr>
      <w:tr w:rsidR="009A370F" w:rsidRPr="00D07B20" w14:paraId="36790D65" w14:textId="77777777" w:rsidTr="009A370F">
        <w:trPr>
          <w:trHeight w:val="267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vAlign w:val="center"/>
            <w:hideMark/>
          </w:tcPr>
          <w:p w14:paraId="4BA857A0" w14:textId="08EE9795" w:rsidR="009A370F" w:rsidRPr="00D07B20" w:rsidRDefault="009A370F" w:rsidP="009A3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Procedimientos de cirugía general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DCE6F1" w:fill="FFFFFF"/>
            <w:hideMark/>
          </w:tcPr>
          <w:p w14:paraId="143668AC" w14:textId="77777777" w:rsidR="009A370F" w:rsidRPr="00D07B20" w:rsidRDefault="009A370F" w:rsidP="009A3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DCE6F1" w:fill="FFFFFF"/>
            <w:hideMark/>
          </w:tcPr>
          <w:p w14:paraId="065A5645" w14:textId="77777777" w:rsidR="009A370F" w:rsidRPr="00D07B20" w:rsidRDefault="009A370F" w:rsidP="009A3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CE6F1" w:fill="FFFFFF"/>
            <w:hideMark/>
          </w:tcPr>
          <w:p w14:paraId="52AC48FE" w14:textId="77777777" w:rsidR="009A370F" w:rsidRPr="00D07B20" w:rsidRDefault="009A370F" w:rsidP="009A3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0109A3" w:rsidRPr="00D07B20" w14:paraId="1ED1F64E" w14:textId="77777777" w:rsidTr="00986458">
        <w:trPr>
          <w:trHeight w:val="309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1B04C3C" w14:textId="40102E6E" w:rsidR="000109A3" w:rsidRPr="00DD1FC3" w:rsidRDefault="000109A3" w:rsidP="00010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D1FC3">
              <w:rPr>
                <w:rFonts w:ascii="Arial" w:hAnsi="Arial" w:cs="Arial"/>
                <w:lang w:val="es-US"/>
              </w:rPr>
              <w:t>Colecistectomía por laparoscopia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69974D" w14:textId="2FAB5EE5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US"/>
              </w:rPr>
            </w:pPr>
            <w:r w:rsidRPr="000109A3">
              <w:rPr>
                <w:rFonts w:ascii="Arial" w:hAnsi="Arial" w:cs="Arial"/>
                <w:color w:val="000000"/>
              </w:rPr>
              <w:t>$6,445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DE4854" w14:textId="100F6B60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US"/>
              </w:rPr>
            </w:pPr>
            <w:r w:rsidRPr="000109A3">
              <w:rPr>
                <w:rFonts w:ascii="Arial" w:hAnsi="Arial" w:cs="Arial"/>
                <w:color w:val="000000"/>
              </w:rPr>
              <w:t>$14,148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8992D0" w14:textId="4B581A7D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US"/>
              </w:rPr>
            </w:pPr>
            <w:r w:rsidRPr="000109A3">
              <w:rPr>
                <w:rFonts w:ascii="Arial" w:hAnsi="Arial" w:cs="Arial"/>
                <w:color w:val="000000"/>
              </w:rPr>
              <w:t>$8,974</w:t>
            </w:r>
          </w:p>
        </w:tc>
      </w:tr>
      <w:tr w:rsidR="000109A3" w:rsidRPr="00D07B20" w14:paraId="04167204" w14:textId="77777777" w:rsidTr="00AE2E30">
        <w:trPr>
          <w:trHeight w:val="309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438AC" w14:textId="11A093F0" w:rsidR="000109A3" w:rsidRPr="00DD1FC3" w:rsidRDefault="000109A3" w:rsidP="000109A3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Interventional Radiology Procedures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094EE273" w14:textId="64D61CF4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3251FF97" w14:textId="0521A339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EC704F9" w14:textId="767F685E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0109A3" w:rsidRPr="00D07B20" w14:paraId="2FAB6161" w14:textId="77777777" w:rsidTr="00943F7E">
        <w:trPr>
          <w:trHeight w:val="309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ACAF71" w14:textId="6F7D0B4A" w:rsidR="000109A3" w:rsidRPr="00DD1FC3" w:rsidRDefault="00470A29" w:rsidP="000109A3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851B5B">
              <w:rPr>
                <w:rFonts w:ascii="Arial" w:eastAsia="Times New Roman" w:hAnsi="Arial" w:cs="Arial"/>
                <w:color w:val="000000"/>
                <w:lang w:val="es-US"/>
              </w:rPr>
              <w:t>Paracentesis abdominal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21D359CB" w14:textId="042E5DAF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$2,498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44288F1F" w14:textId="01CCC497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$11,673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0771F3" w14:textId="279E894F" w:rsidR="000109A3" w:rsidRPr="000109A3" w:rsidRDefault="000109A3" w:rsidP="00010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$6,941</w:t>
            </w:r>
          </w:p>
        </w:tc>
      </w:tr>
      <w:tr w:rsidR="00986458" w:rsidRPr="00D07B20" w14:paraId="0479EDAD" w14:textId="77777777" w:rsidTr="000109A3">
        <w:trPr>
          <w:trHeight w:val="309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46856" w14:textId="3E1F285C" w:rsidR="00986458" w:rsidRPr="00D07B20" w:rsidRDefault="00986458" w:rsidP="00986458">
            <w:pPr>
              <w:spacing w:after="0" w:line="240" w:lineRule="auto"/>
              <w:rPr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Procedimientos ortopédicos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836384" w14:textId="432AEDD0" w:rsidR="00986458" w:rsidRPr="00D07B20" w:rsidRDefault="00986458" w:rsidP="0098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D823E" w14:textId="60F227B1" w:rsidR="00986458" w:rsidRPr="00D07B20" w:rsidRDefault="00986458" w:rsidP="0098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CA3C58" w14:textId="44E9970E" w:rsidR="00986458" w:rsidRPr="00D07B20" w:rsidRDefault="00986458" w:rsidP="0098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0109A3" w:rsidRPr="00D07B20" w14:paraId="48B63D88" w14:textId="77777777" w:rsidTr="00502EBB">
        <w:trPr>
          <w:trHeight w:val="309"/>
        </w:trPr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B0E9B5" w14:textId="79E6ECDB" w:rsidR="000109A3" w:rsidRPr="00D07B20" w:rsidRDefault="005F1CE5" w:rsidP="000109A3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5F1CE5">
              <w:rPr>
                <w:rFonts w:ascii="Arial" w:hAnsi="Arial" w:cs="Arial"/>
                <w:color w:val="000000"/>
              </w:rPr>
              <w:t>Bunionectomía tipo lapidus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102C3FB" w14:textId="7636D236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$15,527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2255E82" w14:textId="302B56CE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$43,655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77167" w14:textId="09ADF9FA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</w:rPr>
              <w:t>$29,686</w:t>
            </w:r>
          </w:p>
        </w:tc>
      </w:tr>
      <w:tr w:rsidR="000109A3" w:rsidRPr="00D07B20" w14:paraId="078BC1E8" w14:textId="77777777" w:rsidTr="007F5C3A">
        <w:trPr>
          <w:trHeight w:val="309"/>
        </w:trPr>
        <w:tc>
          <w:tcPr>
            <w:tcW w:w="67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8D26F" w14:textId="4C5C20B2" w:rsidR="000109A3" w:rsidRPr="00D07B20" w:rsidRDefault="000109A3" w:rsidP="000109A3">
            <w:pPr>
              <w:spacing w:after="0" w:line="240" w:lineRule="auto"/>
              <w:rPr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Artroplastia (reemplazo) total de cadera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7DC305" w14:textId="67C2AD0C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$18,143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AF505C" w14:textId="632A1BD7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$24,575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59AAC671" w14:textId="458CADA0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$20,702</w:t>
            </w:r>
          </w:p>
        </w:tc>
      </w:tr>
      <w:tr w:rsidR="000109A3" w:rsidRPr="00D07B20" w14:paraId="15C17F2A" w14:textId="77777777" w:rsidTr="007F5C3A">
        <w:trPr>
          <w:trHeight w:val="309"/>
        </w:trPr>
        <w:tc>
          <w:tcPr>
            <w:tcW w:w="6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C6BBA8" w14:textId="055F2D40" w:rsidR="000109A3" w:rsidRPr="00D07B20" w:rsidRDefault="000109A3" w:rsidP="000109A3">
            <w:pPr>
              <w:spacing w:after="0" w:line="240" w:lineRule="auto"/>
              <w:rPr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Artroplastia (reemplazo) total de rodilla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1F1A0934" w14:textId="77E37EFA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$15,787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44DFDC64" w14:textId="133AAF23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$22,680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16D3A0" w14:textId="195DE85F" w:rsidR="000109A3" w:rsidRPr="00D07B20" w:rsidRDefault="000109A3" w:rsidP="00010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</w:rPr>
              <w:t>$19,773</w:t>
            </w:r>
          </w:p>
        </w:tc>
      </w:tr>
    </w:tbl>
    <w:p w14:paraId="2B4F5037" w14:textId="77777777" w:rsidR="00986458" w:rsidRPr="00D07B20" w:rsidRDefault="00986458" w:rsidP="00986458">
      <w:pPr>
        <w:pStyle w:val="BodyText"/>
        <w:spacing w:after="60"/>
        <w:rPr>
          <w:b/>
          <w:bCs/>
          <w:sz w:val="18"/>
          <w:szCs w:val="18"/>
          <w:lang w:val="es-US"/>
        </w:rPr>
      </w:pPr>
    </w:p>
    <w:p w14:paraId="52141AC8" w14:textId="77777777" w:rsidR="00986458" w:rsidRPr="00D07B20" w:rsidRDefault="00986458" w:rsidP="00B93A93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4BF8A2A3" w14:textId="1CC52473" w:rsidR="00DB0C14" w:rsidRPr="00D07B20" w:rsidRDefault="00DB0C14" w:rsidP="00B93A93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  <w:r w:rsidRPr="00D07B20">
        <w:rPr>
          <w:b/>
          <w:bCs/>
          <w:sz w:val="18"/>
          <w:szCs w:val="18"/>
          <w:lang w:val="es-US"/>
        </w:rPr>
        <w:t>Página 1</w:t>
      </w:r>
      <w:r w:rsidR="00B4224A" w:rsidRPr="00D07B20">
        <w:rPr>
          <w:b/>
          <w:bCs/>
          <w:sz w:val="18"/>
          <w:szCs w:val="18"/>
          <w:lang w:val="es-US"/>
        </w:rPr>
        <w:t xml:space="preserve"> de </w:t>
      </w:r>
      <w:r w:rsidR="00E11399" w:rsidRPr="00D07B20">
        <w:rPr>
          <w:b/>
          <w:bCs/>
          <w:sz w:val="18"/>
          <w:szCs w:val="18"/>
          <w:lang w:val="es-US"/>
        </w:rPr>
        <w:t>3</w:t>
      </w:r>
    </w:p>
    <w:p w14:paraId="13D5EB44" w14:textId="77777777" w:rsidR="002D58B4" w:rsidRPr="00D07B20" w:rsidRDefault="002D58B4">
      <w:pPr>
        <w:rPr>
          <w:lang w:val="es-US"/>
        </w:rPr>
      </w:pPr>
    </w:p>
    <w:tbl>
      <w:tblPr>
        <w:tblW w:w="10620" w:type="dxa"/>
        <w:tblInd w:w="93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5"/>
        <w:gridCol w:w="90"/>
        <w:gridCol w:w="1135"/>
        <w:gridCol w:w="1360"/>
        <w:gridCol w:w="1360"/>
      </w:tblGrid>
      <w:tr w:rsidR="00CF2E19" w:rsidRPr="00D07B20" w14:paraId="3126F12E" w14:textId="77777777" w:rsidTr="00CE3318">
        <w:trPr>
          <w:trHeight w:val="360"/>
        </w:trPr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0D452847" w14:textId="5A0080B9" w:rsidR="00CF2E19" w:rsidRPr="00D07B20" w:rsidRDefault="00CF2E19" w:rsidP="00C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lastRenderedPageBreak/>
              <w:t xml:space="preserve">Precios de pruebas de laboratorio más comunes hasta 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marzo</w:t>
            </w:r>
            <w:r w:rsidR="00DA378B"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de 202</w:t>
            </w:r>
            <w:r w:rsidR="00DA378B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</w:tr>
      <w:tr w:rsidR="00CF2E19" w:rsidRPr="00D07B20" w14:paraId="47ADD606" w14:textId="77777777" w:rsidTr="00986458">
        <w:trPr>
          <w:trHeight w:val="250"/>
        </w:trPr>
        <w:tc>
          <w:tcPr>
            <w:tcW w:w="67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F2CD4" w14:textId="77777777" w:rsidR="00CF2E19" w:rsidRPr="00D07B20" w:rsidRDefault="00CF2E19" w:rsidP="00CF2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Rango de fechas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  <w:t>correspondiente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:  </w:t>
            </w:r>
          </w:p>
          <w:p w14:paraId="0167A6EC" w14:textId="06969DE7" w:rsidR="00CF2E19" w:rsidRPr="00D07B20" w:rsidRDefault="000109A3" w:rsidP="00CF2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1 de enero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31 de marzo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82E6A39" w14:textId="214A04D2" w:rsidR="00CF2E19" w:rsidRPr="00D07B20" w:rsidRDefault="00CF2E19" w:rsidP="00C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Rango de precios</w:t>
            </w:r>
          </w:p>
        </w:tc>
      </w:tr>
      <w:tr w:rsidR="00CF2E19" w:rsidRPr="00D07B20" w14:paraId="7D0D4957" w14:textId="77777777" w:rsidTr="00986458">
        <w:trPr>
          <w:trHeight w:val="250"/>
        </w:trPr>
        <w:tc>
          <w:tcPr>
            <w:tcW w:w="6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8700B" w14:textId="77777777" w:rsidR="00CF2E19" w:rsidRPr="00D07B20" w:rsidRDefault="00CF2E19" w:rsidP="00CF2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Pruebas de laboratorio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EF3FA5" w14:textId="77777777" w:rsidR="00CF2E19" w:rsidRPr="00D07B20" w:rsidRDefault="00CF2E19" w:rsidP="00C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697B46" w14:textId="77777777" w:rsidR="00CF2E19" w:rsidRPr="00D07B20" w:rsidRDefault="00CF2E19" w:rsidP="00C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AB2091" w14:textId="77777777" w:rsidR="00CF2E19" w:rsidRPr="00D07B20" w:rsidRDefault="00CF2E19" w:rsidP="00C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Promedio </w:t>
            </w:r>
          </w:p>
        </w:tc>
      </w:tr>
      <w:tr w:rsidR="00E6027D" w:rsidRPr="00D07B20" w14:paraId="2D5DA37F" w14:textId="77777777" w:rsidTr="00E63977">
        <w:trPr>
          <w:trHeight w:val="255"/>
        </w:trPr>
        <w:tc>
          <w:tcPr>
            <w:tcW w:w="67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C399AD" w14:textId="2C9EDFB2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Prueba de sangre – Detección de anticuerpos anti células rojas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7EB3A1E" w14:textId="4881600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$19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6217A8D" w14:textId="127B1B5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$25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67420B" w14:textId="6F5CEAB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</w:tr>
      <w:tr w:rsidR="00E6027D" w:rsidRPr="00D07B20" w14:paraId="020E81F6" w14:textId="77777777" w:rsidTr="00E63977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14:paraId="2EC342B8" w14:textId="5BA6551E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Panel Metabólico Básico (Calcio Total)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E35FA4" w14:textId="372CD56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D8E568" w14:textId="773E217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FE57D8D" w14:textId="4A723B42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</w:tr>
      <w:tr w:rsidR="00E6027D" w:rsidRPr="00D07B20" w14:paraId="4919E341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61095" w14:textId="77777777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Extracción de sangre – venopunción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70EFB" w14:textId="231AA45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96678F" w14:textId="36127E78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0FB183" w14:textId="223E13C1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E6027D" w:rsidRPr="00D07B20" w14:paraId="35832BB1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4ED8A" w14:textId="300EF4DE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concentración de alcohol en sangre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399C40" w14:textId="0D6EC03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2C2A48" w14:textId="06F9273F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$62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D5EB643" w14:textId="3E1C892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$59</w:t>
            </w:r>
          </w:p>
        </w:tc>
      </w:tr>
      <w:tr w:rsidR="00E6027D" w:rsidRPr="00D07B20" w14:paraId="62EA1788" w14:textId="77777777" w:rsidTr="001F232A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14:paraId="01300757" w14:textId="284D33F8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E6027D">
              <w:rPr>
                <w:rFonts w:ascii="Arial" w:hAnsi="Arial" w:cs="Arial"/>
              </w:rPr>
              <w:t>Prueba de coagulación sanguínea – D-dimer o restos de la degradación de fibrina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A96361A" w14:textId="3F134FF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FA63E57" w14:textId="28E0E91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7B26C1C" w14:textId="3C474F5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E6027D" w:rsidRPr="00D07B20" w14:paraId="05AF4BFF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B60E6" w14:textId="329D9CAC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coagulación sanguínea – Tiempo de protrombina (PT, por sus siglas en inglés)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E5131EB" w14:textId="331A8105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BF4E075" w14:textId="64F2900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C53CB6A" w14:textId="48B580C1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E6027D" w:rsidRPr="00D07B20" w14:paraId="135E23FD" w14:textId="77777777" w:rsidTr="00496A3E">
        <w:trPr>
          <w:trHeight w:val="273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3DC9A" w14:textId="30FDE723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sangre para determinar grupo sanguíneo – ABO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2F968" w14:textId="4086CB5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66CF31" w14:textId="15FBF3A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275E6C" w14:textId="27AC4B4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</w:tr>
      <w:tr w:rsidR="00E6027D" w:rsidRPr="00D07B20" w14:paraId="6A7C79A6" w14:textId="77777777" w:rsidTr="00496A3E">
        <w:trPr>
          <w:trHeight w:val="273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F633C" w14:textId="6292029F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sangre para determinar Factor RH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FEAA11" w14:textId="5B3592B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FCF53FF" w14:textId="18C7CC65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FD6475C" w14:textId="3FA0369B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$8</w:t>
            </w:r>
          </w:p>
        </w:tc>
      </w:tr>
      <w:tr w:rsidR="00E6027D" w:rsidRPr="00D07B20" w14:paraId="16D87DED" w14:textId="77777777" w:rsidTr="00496A3E">
        <w:trPr>
          <w:trHeight w:val="264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4FA3F" w14:textId="18A6C095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cardíaca – troponina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0EE6C" w14:textId="5735FFD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E76D2B" w14:textId="4422F7F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$52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53CC7B" w14:textId="50FE187A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$49</w:t>
            </w:r>
          </w:p>
        </w:tc>
      </w:tr>
      <w:tr w:rsidR="00E6027D" w:rsidRPr="00D07B20" w14:paraId="26020658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63AE83" w14:textId="646B6AC0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Recuento sanguíneo completo con fórmula leucocitaria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D2AA105" w14:textId="2C5F204B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77016F4" w14:textId="7271936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22D7C31" w14:textId="6503C30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E6027D" w:rsidRPr="00D07B20" w14:paraId="79E2C320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BA2DB2" w14:textId="63E45EF9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Panel metabólico completo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F77DA56" w14:textId="32C75EB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3FFD275" w14:textId="46B1287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839BBB5" w14:textId="4CB4EAB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E6027D" w:rsidRPr="00D07B20" w14:paraId="256ADCE9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4A18F" w14:textId="199FF582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para COVID-19 (SARS-CoV-2)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6930A" w14:textId="7331BB4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93A0ED" w14:textId="2D8A3A0F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918A12" w14:textId="3DDAD32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$45</w:t>
            </w:r>
          </w:p>
        </w:tc>
      </w:tr>
      <w:tr w:rsidR="00E6027D" w:rsidRPr="00D07B20" w14:paraId="202FCD94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9A09A" w14:textId="3D7865D3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directa de bilirrubina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982F222" w14:textId="2CF24FB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F8FF96A" w14:textId="10364D0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160231C" w14:textId="5936ED64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</w:tr>
      <w:tr w:rsidR="00E6027D" w:rsidRPr="00D07B20" w14:paraId="76534D94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EC5965" w14:textId="11EDFDF4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detección de drogas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F2E37C2" w14:textId="01973B9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$89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B1DCC90" w14:textId="2E74A721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$116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13DAE44" w14:textId="44E878C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$110</w:t>
            </w:r>
          </w:p>
        </w:tc>
      </w:tr>
      <w:tr w:rsidR="00E6027D" w:rsidRPr="00D07B20" w14:paraId="5916AD4C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40FAA" w14:textId="5782A042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la lipasa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9D1FD" w14:textId="3013E62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A999AC" w14:textId="383A2B6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9792F42" w14:textId="6DBEF0B4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E6027D" w:rsidRPr="00D07B20" w14:paraId="0A8AE0D8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330E6" w14:textId="59A7DB86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magnesio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77BDCC" w14:textId="19D35CBB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B91792" w14:textId="7A5C9D64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CA1B6C" w14:textId="303770E2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$12</w:t>
            </w:r>
          </w:p>
        </w:tc>
      </w:tr>
      <w:tr w:rsidR="00E6027D" w:rsidRPr="00D07B20" w14:paraId="5D3A86A6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07372" w14:textId="148B3373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sangre para determinar el embarazo, presencia en sangre de la hormona gonadotropina coriónica (HCG QL, por sus siglas en inglés)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9B9A001" w14:textId="415F932F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13BF3B3" w14:textId="7438142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400C961" w14:textId="68D0BA5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E6027D" w:rsidRPr="00D07B20" w14:paraId="2CAD558A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05978" w14:textId="57C68EDE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de la hormona estimulante de tiroides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1B4FA41" w14:textId="602188C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6F16926" w14:textId="20D9B45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65BD955" w14:textId="156CA9C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$29</w:t>
            </w:r>
          </w:p>
        </w:tc>
      </w:tr>
      <w:tr w:rsidR="00E6027D" w:rsidRPr="00D07B20" w14:paraId="3D8C0101" w14:textId="77777777" w:rsidTr="00496A3E">
        <w:trPr>
          <w:trHeight w:val="255"/>
        </w:trPr>
        <w:tc>
          <w:tcPr>
            <w:tcW w:w="676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C9AAF" w14:textId="31E2EB33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Análisis de orina (UA, por sus siglas en inglés) con análisis microscópico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9E6ECFD" w14:textId="5823178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B1E8658" w14:textId="44292CE4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D14AF0B" w14:textId="361DB53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$18</w:t>
            </w:r>
          </w:p>
        </w:tc>
      </w:tr>
      <w:tr w:rsidR="00E6027D" w:rsidRPr="00D07B20" w14:paraId="4D453F42" w14:textId="77777777" w:rsidTr="00496A3E">
        <w:trPr>
          <w:trHeight w:val="255"/>
        </w:trPr>
        <w:tc>
          <w:tcPr>
            <w:tcW w:w="67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E9D9C" w14:textId="48FCB524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Prueba para determinar infección del tracto urinario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123D0" w14:textId="05E3F3A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FB7E0F8" w14:textId="21E439D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$41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3E4E0F" w14:textId="4BAF8B58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$39</w:t>
            </w:r>
          </w:p>
        </w:tc>
      </w:tr>
      <w:tr w:rsidR="00E6027D" w:rsidRPr="00D07B20" w14:paraId="4C155E9E" w14:textId="77777777" w:rsidTr="00FF45D6">
        <w:trPr>
          <w:trHeight w:val="360"/>
        </w:trPr>
        <w:tc>
          <w:tcPr>
            <w:tcW w:w="106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21080786" w14:textId="2F7F224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lang w:val="es-US"/>
              </w:rPr>
              <w:br w:type="page"/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Precios por los procedimientos radiológicos más comunes hasta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marzo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</w:tr>
      <w:tr w:rsidR="00E6027D" w:rsidRPr="00D07B20" w14:paraId="0158C18E" w14:textId="77777777" w:rsidTr="00986458">
        <w:trPr>
          <w:trHeight w:val="268"/>
        </w:trPr>
        <w:tc>
          <w:tcPr>
            <w:tcW w:w="6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3EA546" w14:textId="77777777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Rango de fechas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US"/>
              </w:rPr>
              <w:t>correspondiente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:  </w:t>
            </w:r>
          </w:p>
          <w:p w14:paraId="0BE4A88E" w14:textId="01F2AC93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1 de enero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31 de marzo de </w:t>
            </w: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4</w:t>
            </w:r>
          </w:p>
        </w:tc>
        <w:tc>
          <w:tcPr>
            <w:tcW w:w="3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30A8E" w14:textId="7777777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Rango de precios</w:t>
            </w:r>
          </w:p>
        </w:tc>
      </w:tr>
      <w:tr w:rsidR="00E6027D" w:rsidRPr="00D07B20" w14:paraId="233BAD87" w14:textId="77777777" w:rsidTr="00986458">
        <w:trPr>
          <w:trHeight w:val="295"/>
        </w:trPr>
        <w:tc>
          <w:tcPr>
            <w:tcW w:w="6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62181" w14:textId="5F1E0B4F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Tomografía axial computarizada (TAC) (CAT, por sus siglas en inglés)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401F31" w14:textId="7777777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F96B21" w14:textId="7777777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8F79AD" w14:textId="7777777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Promedio</w:t>
            </w:r>
          </w:p>
        </w:tc>
      </w:tr>
      <w:tr w:rsidR="00E6027D" w:rsidRPr="00D07B20" w14:paraId="279E91A0" w14:textId="77777777" w:rsidTr="00650932">
        <w:trPr>
          <w:trHeight w:val="255"/>
        </w:trPr>
        <w:tc>
          <w:tcPr>
            <w:tcW w:w="6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CD90D" w14:textId="31421809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TAC de abdomen y pelvis sin contraste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FACBA" w14:textId="1363EEE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$139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22FB7" w14:textId="7C00CDE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$182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D58A5" w14:textId="7DAD6033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$172</w:t>
            </w:r>
          </w:p>
        </w:tc>
      </w:tr>
      <w:tr w:rsidR="00E6027D" w:rsidRPr="00D07B20" w14:paraId="52E29FDD" w14:textId="77777777" w:rsidTr="00650932">
        <w:trPr>
          <w:trHeight w:val="255"/>
        </w:trPr>
        <w:tc>
          <w:tcPr>
            <w:tcW w:w="667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57F3F" w14:textId="69FB5344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TAC de abdomen y pelvis con contraste</w:t>
            </w:r>
          </w:p>
        </w:tc>
        <w:tc>
          <w:tcPr>
            <w:tcW w:w="1225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F3860" w14:textId="4CED03A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$269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92A653" w14:textId="5EFCA964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$352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0383C2" w14:textId="4D21CF6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$333</w:t>
            </w:r>
          </w:p>
        </w:tc>
      </w:tr>
      <w:tr w:rsidR="00E6027D" w:rsidRPr="00D07B20" w14:paraId="03BE965A" w14:textId="77777777" w:rsidTr="00650932">
        <w:trPr>
          <w:trHeight w:val="255"/>
        </w:trPr>
        <w:tc>
          <w:tcPr>
            <w:tcW w:w="667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1BBAD3" w14:textId="23D1351E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Angiografía por tomografía computarizada de tórax sin contraste</w:t>
            </w:r>
          </w:p>
        </w:tc>
        <w:tc>
          <w:tcPr>
            <w:tcW w:w="1225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1DB0CD0" w14:textId="753C922F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$256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B87716F" w14:textId="1C79E0A1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$335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617A269" w14:textId="681D180F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$318</w:t>
            </w:r>
          </w:p>
        </w:tc>
      </w:tr>
      <w:tr w:rsidR="00E6027D" w:rsidRPr="00D07B20" w14:paraId="1B5558C5" w14:textId="77777777" w:rsidTr="00650932">
        <w:trPr>
          <w:trHeight w:val="255"/>
        </w:trPr>
        <w:tc>
          <w:tcPr>
            <w:tcW w:w="6675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9AA614" w14:textId="700F4949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TAC de columna cervical sin contraste</w:t>
            </w:r>
          </w:p>
        </w:tc>
        <w:tc>
          <w:tcPr>
            <w:tcW w:w="1225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E22D9F" w14:textId="53774067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3FD1D3A" w14:textId="7925E561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$210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0572C90" w14:textId="7DB97935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$198</w:t>
            </w:r>
          </w:p>
        </w:tc>
      </w:tr>
      <w:tr w:rsidR="00E6027D" w:rsidRPr="00D07B20" w14:paraId="56393CE4" w14:textId="77777777" w:rsidTr="00650932">
        <w:trPr>
          <w:trHeight w:val="255"/>
        </w:trPr>
        <w:tc>
          <w:tcPr>
            <w:tcW w:w="66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3B49D8" w14:textId="456857D0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Tomografía computarizada de cabeza/cerebro sin contraste</w:t>
            </w:r>
          </w:p>
        </w:tc>
        <w:tc>
          <w:tcPr>
            <w:tcW w:w="12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CB9DC" w14:textId="773EA1C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$91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31751" w14:textId="70963FD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$119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627BEE" w14:textId="2D21416C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$113</w:t>
            </w:r>
          </w:p>
        </w:tc>
      </w:tr>
      <w:tr w:rsidR="00E6027D" w:rsidRPr="00D07B20" w14:paraId="3EBADD35" w14:textId="77777777" w:rsidTr="00986458">
        <w:trPr>
          <w:trHeight w:val="259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E1D217" w14:textId="1289D4D2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Radiología diagnóstica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459F56" w14:textId="4CB64498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FE7E22" w14:textId="49D6BF5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39BAAA" w14:textId="7B730A4A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Promedio </w:t>
            </w:r>
          </w:p>
        </w:tc>
      </w:tr>
      <w:tr w:rsidR="00E6027D" w:rsidRPr="00D07B20" w14:paraId="4F5AE886" w14:textId="77777777" w:rsidTr="00463A67">
        <w:trPr>
          <w:trHeight w:val="259"/>
        </w:trPr>
        <w:tc>
          <w:tcPr>
            <w:tcW w:w="66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8AAA5" w14:textId="6CC97A85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Radiografía de tórax, 2 vistas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1275BB4" w14:textId="5421BF92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$75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DF5C11C" w14:textId="1B84C8E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$98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7FE3C44" w14:textId="59642A15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$91</w:t>
            </w:r>
          </w:p>
        </w:tc>
      </w:tr>
      <w:tr w:rsidR="00E6027D" w:rsidRPr="00D07B20" w14:paraId="53EF4490" w14:textId="77777777" w:rsidTr="00463A67">
        <w:trPr>
          <w:trHeight w:val="259"/>
        </w:trPr>
        <w:tc>
          <w:tcPr>
            <w:tcW w:w="6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2D050" w14:textId="44241A60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Radiografía de tórax, 1 vista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32E3CF1" w14:textId="4963BF4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$60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FE4C603" w14:textId="2D00C40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$78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68D4079" w14:textId="42803859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$74</w:t>
            </w:r>
          </w:p>
        </w:tc>
      </w:tr>
      <w:tr w:rsidR="00E6027D" w:rsidRPr="00D07B20" w14:paraId="72F46B2F" w14:textId="77777777" w:rsidTr="00463A67">
        <w:trPr>
          <w:trHeight w:val="259"/>
        </w:trPr>
        <w:tc>
          <w:tcPr>
            <w:tcW w:w="6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4B4EB" w14:textId="6A3C8F87" w:rsidR="00E6027D" w:rsidRPr="0039550E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990A78">
              <w:rPr>
                <w:rFonts w:ascii="Arial" w:hAnsi="Arial" w:cs="Arial"/>
                <w:lang w:val="es-US"/>
              </w:rPr>
              <w:t>Radiografía Dental de Boca Completa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03D7151" w14:textId="001F41A0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$165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030F103" w14:textId="11C31D9B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$216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09AEFF6" w14:textId="7198A54E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$203</w:t>
            </w:r>
          </w:p>
        </w:tc>
      </w:tr>
      <w:tr w:rsidR="00E6027D" w:rsidRPr="00D07B20" w14:paraId="009281C6" w14:textId="77777777" w:rsidTr="00463A67">
        <w:trPr>
          <w:trHeight w:val="259"/>
        </w:trPr>
        <w:tc>
          <w:tcPr>
            <w:tcW w:w="66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EA608C" w14:textId="3D073370" w:rsidR="00E6027D" w:rsidRPr="00D07B20" w:rsidRDefault="00E6027D" w:rsidP="00E6027D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Radiografía de la columna lumbar, 2–3 vistas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086AB68" w14:textId="18AAD67D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$105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96A98BC" w14:textId="4A94950A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724A21" w14:textId="7B2CD186" w:rsidR="00E6027D" w:rsidRPr="00D07B20" w:rsidRDefault="00E6027D" w:rsidP="00E6027D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$130</w:t>
            </w:r>
          </w:p>
        </w:tc>
      </w:tr>
    </w:tbl>
    <w:p w14:paraId="376093C5" w14:textId="1DA83C38" w:rsidR="00986458" w:rsidRPr="00D07B20" w:rsidRDefault="00986458" w:rsidP="00D136FE">
      <w:pPr>
        <w:pStyle w:val="BodyText"/>
        <w:spacing w:after="60"/>
        <w:rPr>
          <w:b/>
          <w:bCs/>
          <w:sz w:val="18"/>
          <w:szCs w:val="18"/>
          <w:lang w:val="es-US"/>
        </w:rPr>
      </w:pPr>
    </w:p>
    <w:p w14:paraId="357CF1E8" w14:textId="77777777" w:rsidR="00986458" w:rsidRPr="00D07B20" w:rsidRDefault="00986458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16AA6F07" w14:textId="10AF5CE2" w:rsidR="00986458" w:rsidRDefault="00986458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328B0106" w14:textId="19B3227E" w:rsidR="002D58B4" w:rsidRDefault="002D58B4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083EF10D" w14:textId="77777777" w:rsidR="002D58B4" w:rsidRPr="00D07B20" w:rsidRDefault="002D58B4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2ABA28C5" w14:textId="15591C96" w:rsidR="00837E5D" w:rsidRPr="00D07B20" w:rsidRDefault="00B4224A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  <w:r w:rsidRPr="00D07B20">
        <w:rPr>
          <w:b/>
          <w:bCs/>
          <w:sz w:val="18"/>
          <w:szCs w:val="18"/>
          <w:lang w:val="es-US"/>
        </w:rPr>
        <w:t xml:space="preserve">Página 2 de </w:t>
      </w:r>
      <w:r w:rsidR="00E11399" w:rsidRPr="00D07B20">
        <w:rPr>
          <w:b/>
          <w:bCs/>
          <w:sz w:val="18"/>
          <w:szCs w:val="18"/>
          <w:lang w:val="es-US"/>
        </w:rPr>
        <w:t>3</w:t>
      </w:r>
    </w:p>
    <w:p w14:paraId="42BACD8E" w14:textId="77777777" w:rsidR="006A1D10" w:rsidRPr="00D07B20" w:rsidRDefault="006A1D10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136C9F13" w14:textId="77777777" w:rsidR="006A1D10" w:rsidRPr="00D07B20" w:rsidRDefault="006A1D10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491F5140" w14:textId="77777777" w:rsidR="006A1D10" w:rsidRPr="00D07B20" w:rsidRDefault="006A1D10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517CEAAD" w14:textId="77777777" w:rsidR="001716D1" w:rsidRPr="00D07B20" w:rsidRDefault="001716D1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4043D44D" w14:textId="77777777" w:rsidR="001716D1" w:rsidRPr="00D07B20" w:rsidRDefault="001716D1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05346591" w14:textId="77777777" w:rsidR="001716D1" w:rsidRPr="00D07B20" w:rsidRDefault="001716D1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p w14:paraId="46292C1D" w14:textId="77777777" w:rsidR="001716D1" w:rsidRPr="00D07B20" w:rsidRDefault="001716D1" w:rsidP="00837E5D">
      <w:pPr>
        <w:pStyle w:val="BodyText"/>
        <w:spacing w:after="60"/>
        <w:ind w:left="8640" w:firstLine="720"/>
        <w:rPr>
          <w:b/>
          <w:bCs/>
          <w:sz w:val="18"/>
          <w:szCs w:val="18"/>
          <w:lang w:val="es-US"/>
        </w:rPr>
      </w:pPr>
    </w:p>
    <w:tbl>
      <w:tblPr>
        <w:tblW w:w="10620" w:type="dxa"/>
        <w:tblInd w:w="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5"/>
        <w:gridCol w:w="1225"/>
        <w:gridCol w:w="1360"/>
        <w:gridCol w:w="1360"/>
      </w:tblGrid>
      <w:tr w:rsidR="00741DDE" w:rsidRPr="00D07B20" w14:paraId="363FF8D8" w14:textId="77777777" w:rsidTr="004079C3">
        <w:trPr>
          <w:trHeight w:val="270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E7A5FD" w14:textId="19B4CC72" w:rsidR="00741DDE" w:rsidRPr="00D07B20" w:rsidRDefault="00741DDE" w:rsidP="00741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lang w:val="es-US"/>
              </w:rPr>
              <w:t>Angiografía de resonancia magnética (MRA, por sus siglas en inglés) / Imagen de resonancia magnética (MRI, por sus siglas en inglés)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D7A504" w14:textId="3F49449A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4E25694" w14:textId="50BBA6B5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205A96" w14:textId="2F96577A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Promedio </w:t>
            </w:r>
          </w:p>
        </w:tc>
      </w:tr>
      <w:tr w:rsidR="00B0358F" w:rsidRPr="00D07B20" w14:paraId="1627328A" w14:textId="77777777" w:rsidTr="0023567C">
        <w:trPr>
          <w:trHeight w:val="270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A53D4" w14:textId="4961CCD5" w:rsidR="00B0358F" w:rsidRPr="00D07B20" w:rsidRDefault="00B0358F" w:rsidP="00B0358F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Angiografía de resonancia magnética (MRA, por sus siglas en inglés) de la cabeza sin contraste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D24C" w14:textId="465010E4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$542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5EC3" w14:textId="35F85BDF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$710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2E3EAC" w14:textId="79794168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$666</w:t>
            </w:r>
          </w:p>
        </w:tc>
      </w:tr>
      <w:tr w:rsidR="00B0358F" w:rsidRPr="00D07B20" w14:paraId="4214801D" w14:textId="77777777" w:rsidTr="0023567C">
        <w:trPr>
          <w:trHeight w:val="250"/>
        </w:trPr>
        <w:tc>
          <w:tcPr>
            <w:tcW w:w="6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CA9AE4" w14:textId="27B393B8" w:rsidR="00B0358F" w:rsidRPr="00D07B20" w:rsidRDefault="00B0358F" w:rsidP="00B0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color w:val="000000"/>
                <w:lang w:val="es-US"/>
              </w:rPr>
              <w:t>Angiografía de resonancia magnética (MRA, por sus siglas en inglés) del cuello, sin contraste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6F7" w14:textId="169622B7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$548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B834" w14:textId="5DB5A50C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$718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9D7EC0" w14:textId="661E29D3" w:rsidR="00B0358F" w:rsidRPr="00677A18" w:rsidRDefault="00B0358F" w:rsidP="00B0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$673</w:t>
            </w:r>
          </w:p>
        </w:tc>
      </w:tr>
      <w:tr w:rsidR="00677A18" w:rsidRPr="00D07B20" w14:paraId="0C84590E" w14:textId="77777777" w:rsidTr="001111B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83B5D3" w14:textId="71DAD162" w:rsidR="00677A18" w:rsidRPr="00D07B20" w:rsidRDefault="005B30BC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5B30BC">
              <w:rPr>
                <w:rFonts w:ascii="Arial" w:hAnsi="Arial" w:cs="Arial"/>
              </w:rPr>
              <w:t xml:space="preserve">Imagen de resonancia magnética (MRI, por sus siglas en inglés) del </w:t>
            </w:r>
            <w:r w:rsidR="00F23305">
              <w:rPr>
                <w:rFonts w:ascii="Arial" w:hAnsi="Arial" w:cs="Arial"/>
              </w:rPr>
              <w:t>abdomen</w:t>
            </w:r>
            <w:r w:rsidRPr="005B30BC">
              <w:rPr>
                <w:rFonts w:ascii="Arial" w:hAnsi="Arial" w:cs="Arial"/>
              </w:rPr>
              <w:t xml:space="preserve"> sin contraste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189A" w14:textId="2203E328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$426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8138" w14:textId="2A3548E3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$557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F120CF" w14:textId="21DFD235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$527</w:t>
            </w:r>
          </w:p>
        </w:tc>
      </w:tr>
      <w:tr w:rsidR="00677A18" w:rsidRPr="00D07B20" w14:paraId="419667B2" w14:textId="77777777" w:rsidTr="001111BD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5915DF" w14:textId="45A200C2" w:rsidR="00677A18" w:rsidRPr="005B30BC" w:rsidRDefault="005B30BC" w:rsidP="00677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5B30BC">
              <w:rPr>
                <w:rFonts w:ascii="Arial" w:hAnsi="Arial" w:cs="Arial"/>
              </w:rPr>
              <w:t>Imagen de resonancia magnética (MRI, por sus siglas en inglés) del cerebro sin contraste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0A8F72A" w14:textId="0B74F7AE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$257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D1EAFFE" w14:textId="5CEEA1CE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$336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5283C8" w14:textId="3C9A481D" w:rsidR="00677A18" w:rsidRPr="00677A18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677A18">
              <w:rPr>
                <w:rFonts w:ascii="Arial" w:hAnsi="Arial" w:cs="Arial"/>
              </w:rPr>
              <w:t>$317</w:t>
            </w:r>
          </w:p>
        </w:tc>
      </w:tr>
      <w:tr w:rsidR="00741DDE" w:rsidRPr="00D07B20" w14:paraId="204E93F2" w14:textId="77777777" w:rsidTr="00D350F5">
        <w:trPr>
          <w:trHeight w:val="259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CF017" w14:textId="77777777" w:rsidR="00741DDE" w:rsidRPr="00D07B20" w:rsidRDefault="00741DDE" w:rsidP="00741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Medicina nuclear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938E7B" w14:textId="77777777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CDBC5B" w14:textId="77777777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FC752" w14:textId="77777777" w:rsidR="00741DDE" w:rsidRPr="00D07B20" w:rsidRDefault="00741DDE" w:rsidP="0074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Promedio </w:t>
            </w:r>
          </w:p>
        </w:tc>
      </w:tr>
      <w:tr w:rsidR="00677A18" w:rsidRPr="00D07B20" w14:paraId="4A4A8FAD" w14:textId="77777777" w:rsidTr="00D350F5">
        <w:trPr>
          <w:trHeight w:val="270"/>
        </w:trPr>
        <w:tc>
          <w:tcPr>
            <w:tcW w:w="6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E67C3" w14:textId="7FFC0B9D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602D4C">
              <w:rPr>
                <w:rFonts w:ascii="Arial" w:eastAsia="Times New Roman" w:hAnsi="Arial" w:cs="Arial"/>
                <w:color w:val="000000"/>
                <w:lang w:val="es-US"/>
              </w:rPr>
              <w:t>Medicina Nuclear – Imágenes de Perfusión Pulmonar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F2F43D5" w14:textId="313B78FE" w:rsidR="00677A18" w:rsidRPr="00D07B20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$1,137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34A31B9" w14:textId="21D1ED01" w:rsidR="00677A18" w:rsidRPr="00D07B20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$1,489</w:t>
            </w:r>
          </w:p>
        </w:tc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62685D" w14:textId="35892061" w:rsidR="00677A18" w:rsidRPr="00D07B20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C6038C">
              <w:rPr>
                <w:rFonts w:ascii="Arial" w:hAnsi="Arial" w:cs="Arial"/>
                <w:color w:val="000000"/>
              </w:rPr>
              <w:t>$1,404</w:t>
            </w:r>
          </w:p>
        </w:tc>
      </w:tr>
      <w:tr w:rsidR="00DE4628" w:rsidRPr="00D07B20" w14:paraId="27B37A90" w14:textId="77777777" w:rsidTr="00D350F5">
        <w:trPr>
          <w:trHeight w:val="258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6BC29" w14:textId="35944FD5" w:rsidR="00DE4628" w:rsidRPr="00D07B20" w:rsidRDefault="00DE4628" w:rsidP="00DE4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Ecografía o Ultrasonido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1D4257" w14:textId="77777777" w:rsidR="00DE4628" w:rsidRPr="00D07B20" w:rsidRDefault="00DE4628" w:rsidP="00DE4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Mínimo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86EE74" w14:textId="77777777" w:rsidR="00DE4628" w:rsidRPr="00D07B20" w:rsidRDefault="00DE4628" w:rsidP="00DE4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>Máximo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76B2BB" w14:textId="77777777" w:rsidR="00DE4628" w:rsidRPr="00D07B20" w:rsidRDefault="00DE4628" w:rsidP="00DE4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</w:pPr>
            <w:r w:rsidRPr="00D07B20">
              <w:rPr>
                <w:rFonts w:ascii="Arial" w:eastAsia="Times New Roman" w:hAnsi="Arial" w:cs="Arial"/>
                <w:b/>
                <w:bCs/>
                <w:color w:val="000000"/>
                <w:lang w:val="es-US"/>
              </w:rPr>
              <w:t xml:space="preserve">Promedio </w:t>
            </w:r>
          </w:p>
        </w:tc>
      </w:tr>
      <w:tr w:rsidR="00E12BFE" w:rsidRPr="00D07B20" w14:paraId="793CDB4C" w14:textId="77777777" w:rsidTr="00B616AB">
        <w:trPr>
          <w:trHeight w:val="255"/>
        </w:trPr>
        <w:tc>
          <w:tcPr>
            <w:tcW w:w="6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71BCDB" w14:textId="2AC3E420" w:rsidR="00E12BFE" w:rsidRPr="004760E6" w:rsidRDefault="00E12BFE" w:rsidP="00E12BF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val="es-US"/>
              </w:rPr>
            </w:pPr>
            <w:r w:rsidRPr="00065BD1">
              <w:rPr>
                <w:rFonts w:ascii="Arial" w:hAnsi="Arial" w:cs="Arial"/>
                <w:lang w:val="es-US"/>
              </w:rPr>
              <w:t>Ultrasonido dúplex – Abdomen/Pelvis/Retroperitoneal limitado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4566EF88" w14:textId="14CA7D23" w:rsidR="00E12BFE" w:rsidRPr="008578C2" w:rsidRDefault="00E12BFE" w:rsidP="00E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$525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900034F" w14:textId="2EB33982" w:rsidR="00E12BFE" w:rsidRPr="008578C2" w:rsidRDefault="00E12BFE" w:rsidP="00E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$687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8BAB71" w14:textId="4458C9EF" w:rsidR="00E12BFE" w:rsidRPr="008578C2" w:rsidRDefault="00E12BFE" w:rsidP="00E12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$648</w:t>
            </w:r>
          </w:p>
        </w:tc>
      </w:tr>
      <w:tr w:rsidR="00677A18" w:rsidRPr="00D07B20" w14:paraId="19E54A26" w14:textId="77777777" w:rsidTr="00103199">
        <w:trPr>
          <w:trHeight w:val="255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EDE72" w14:textId="001C936F" w:rsidR="00677A18" w:rsidRPr="00D07B20" w:rsidRDefault="00677A18" w:rsidP="00677A18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Ecografía completa de abdomen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0F387C3B" w14:textId="1D47BDC1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$345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05029B7C" w14:textId="6447461D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$495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5013926D" w14:textId="1D59BECC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$474</w:t>
            </w:r>
          </w:p>
        </w:tc>
      </w:tr>
      <w:tr w:rsidR="00677A18" w:rsidRPr="00D07B20" w14:paraId="597ECB48" w14:textId="77777777" w:rsidTr="00103199">
        <w:trPr>
          <w:trHeight w:val="255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5FD3A" w14:textId="347E23AF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hAnsi="Arial" w:cs="Arial"/>
                <w:lang w:val="es-US"/>
              </w:rPr>
              <w:t>Ultrasonido Abdomen Limitado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6C07569" w14:textId="77E647DB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$270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706500BA" w14:textId="651C6D08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$353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D9D9A0" w14:textId="3D37441D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$334</w:t>
            </w:r>
          </w:p>
        </w:tc>
      </w:tr>
      <w:tr w:rsidR="00677A18" w:rsidRPr="00D07B20" w14:paraId="582A5031" w14:textId="77777777" w:rsidTr="00103199">
        <w:trPr>
          <w:trHeight w:val="270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9623E" w14:textId="42C3E462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Ecografía en etapa temprana del embarazo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4A4AE39A" w14:textId="14AFC175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$225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360A672F" w14:textId="7439DB03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$294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4825408E" w14:textId="48B3453D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$279</w:t>
            </w:r>
          </w:p>
        </w:tc>
      </w:tr>
      <w:tr w:rsidR="00677A18" w:rsidRPr="00D07B20" w14:paraId="755A166E" w14:textId="77777777" w:rsidTr="00103199">
        <w:trPr>
          <w:trHeight w:val="270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34203" w14:textId="335CB54A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Ecografía completa de la pelvis en paciente no embarazada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1718619B" w14:textId="226442A9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$315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1D653C18" w14:textId="648FEBED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$412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4FBF34D1" w14:textId="36E37445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$390</w:t>
            </w:r>
          </w:p>
        </w:tc>
      </w:tr>
      <w:tr w:rsidR="00677A18" w:rsidRPr="00D07B20" w14:paraId="4F621055" w14:textId="77777777" w:rsidTr="00103199">
        <w:trPr>
          <w:trHeight w:val="270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B785E" w14:textId="31994787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Ecografía transvaginal en paciente embarazada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64E5721B" w14:textId="747D6DC5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$255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51576C58" w14:textId="28B666B3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$334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E45372" w14:textId="1405E675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$317</w:t>
            </w:r>
          </w:p>
        </w:tc>
      </w:tr>
      <w:tr w:rsidR="00677A18" w:rsidRPr="00D07B20" w14:paraId="2F2FADE8" w14:textId="77777777" w:rsidTr="00103199">
        <w:trPr>
          <w:trHeight w:val="270"/>
        </w:trPr>
        <w:tc>
          <w:tcPr>
            <w:tcW w:w="667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197782" w14:textId="6F933970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Ecografía transvaginal en paciente no embarazada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</w:tcPr>
          <w:p w14:paraId="6C0A558B" w14:textId="1F7C3291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$375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</w:tcPr>
          <w:p w14:paraId="6380B2DA" w14:textId="49D76788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$490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5B5A3853" w14:textId="3D77A32F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$465</w:t>
            </w:r>
          </w:p>
        </w:tc>
      </w:tr>
      <w:tr w:rsidR="00677A18" w:rsidRPr="00D07B20" w14:paraId="1793036E" w14:textId="77777777" w:rsidTr="00103199">
        <w:trPr>
          <w:trHeight w:val="270"/>
        </w:trPr>
        <w:tc>
          <w:tcPr>
            <w:tcW w:w="6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F6A62" w14:textId="37A0C33B" w:rsidR="00677A18" w:rsidRPr="00D07B20" w:rsidRDefault="00677A18" w:rsidP="00677A18">
            <w:pPr>
              <w:spacing w:after="0" w:line="240" w:lineRule="auto"/>
              <w:rPr>
                <w:rFonts w:ascii="Arial" w:eastAsia="Times New Roman" w:hAnsi="Arial" w:cs="Arial"/>
                <w:lang w:val="es-US"/>
              </w:rPr>
            </w:pPr>
            <w:r w:rsidRPr="00D07B20">
              <w:rPr>
                <w:rFonts w:ascii="Arial" w:eastAsia="Times New Roman" w:hAnsi="Arial" w:cs="Arial"/>
                <w:lang w:val="es-US"/>
              </w:rPr>
              <w:t>Ultrasonido dúplex venoso – Pierna izquierda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D1107EB" w14:textId="156895A3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$420</w:t>
            </w:r>
          </w:p>
        </w:tc>
        <w:tc>
          <w:tcPr>
            <w:tcW w:w="1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</w:tcPr>
          <w:p w14:paraId="7169A5CC" w14:textId="29A77ECE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$549</w:t>
            </w:r>
          </w:p>
        </w:tc>
        <w:tc>
          <w:tcPr>
            <w:tcW w:w="13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0A84BB" w14:textId="5100FCA5" w:rsidR="00677A18" w:rsidRPr="008578C2" w:rsidRDefault="00677A18" w:rsidP="00677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US"/>
              </w:rPr>
            </w:pPr>
            <w:r w:rsidRPr="008578C2">
              <w:rPr>
                <w:rFonts w:ascii="Arial" w:hAnsi="Arial" w:cs="Arial"/>
              </w:rPr>
              <w:t>$522</w:t>
            </w:r>
          </w:p>
        </w:tc>
      </w:tr>
    </w:tbl>
    <w:p w14:paraId="7DF7526C" w14:textId="77777777" w:rsidR="00B4224A" w:rsidRPr="00D07B20" w:rsidRDefault="00B4224A" w:rsidP="00126736">
      <w:pPr>
        <w:pStyle w:val="BodyText"/>
        <w:rPr>
          <w:bCs/>
          <w:sz w:val="18"/>
          <w:szCs w:val="18"/>
          <w:lang w:val="es-US"/>
        </w:rPr>
      </w:pPr>
    </w:p>
    <w:p w14:paraId="0305A62B" w14:textId="77777777" w:rsidR="00B4224A" w:rsidRPr="00D07B20" w:rsidRDefault="00B4224A" w:rsidP="00126736">
      <w:pPr>
        <w:pStyle w:val="BodyText"/>
        <w:rPr>
          <w:bCs/>
          <w:sz w:val="18"/>
          <w:szCs w:val="18"/>
          <w:lang w:val="es-US"/>
        </w:rPr>
      </w:pPr>
    </w:p>
    <w:p w14:paraId="0AC4842F" w14:textId="77777777" w:rsidR="0041536D" w:rsidRPr="00D07B20" w:rsidRDefault="00216A81" w:rsidP="00126736">
      <w:pPr>
        <w:pStyle w:val="BodyText"/>
        <w:rPr>
          <w:bCs/>
          <w:sz w:val="18"/>
          <w:szCs w:val="18"/>
          <w:lang w:val="es-US"/>
        </w:rPr>
      </w:pPr>
      <w:r w:rsidRPr="00D07B20">
        <w:rPr>
          <w:bCs/>
          <w:sz w:val="18"/>
          <w:szCs w:val="18"/>
          <w:lang w:val="es-US"/>
        </w:rPr>
        <w:t>*Se le cobrar</w:t>
      </w:r>
      <w:r w:rsidR="00227159" w:rsidRPr="00D07B20">
        <w:rPr>
          <w:bCs/>
          <w:sz w:val="18"/>
          <w:szCs w:val="18"/>
          <w:lang w:val="es-US"/>
        </w:rPr>
        <w:t>á</w:t>
      </w:r>
      <w:r w:rsidRPr="00D07B20">
        <w:rPr>
          <w:bCs/>
          <w:sz w:val="18"/>
          <w:szCs w:val="18"/>
          <w:lang w:val="es-US"/>
        </w:rPr>
        <w:t xml:space="preserve"> como una </w:t>
      </w:r>
      <w:r w:rsidR="00BD5A29" w:rsidRPr="00D07B20">
        <w:rPr>
          <w:bCs/>
          <w:sz w:val="18"/>
          <w:szCs w:val="18"/>
          <w:lang w:val="es-US"/>
        </w:rPr>
        <w:t>extracción</w:t>
      </w:r>
      <w:r w:rsidRPr="00D07B20">
        <w:rPr>
          <w:bCs/>
          <w:sz w:val="18"/>
          <w:szCs w:val="18"/>
          <w:lang w:val="es-US"/>
        </w:rPr>
        <w:t xml:space="preserve"> de sangre (</w:t>
      </w:r>
      <w:r w:rsidR="00BD5A29" w:rsidRPr="00D07B20">
        <w:rPr>
          <w:bCs/>
          <w:sz w:val="18"/>
          <w:szCs w:val="18"/>
          <w:lang w:val="es-US"/>
        </w:rPr>
        <w:t>ven</w:t>
      </w:r>
      <w:r w:rsidR="00B30BA3" w:rsidRPr="00D07B20">
        <w:rPr>
          <w:bCs/>
          <w:sz w:val="18"/>
          <w:szCs w:val="18"/>
          <w:lang w:val="es-US"/>
        </w:rPr>
        <w:t>o</w:t>
      </w:r>
      <w:r w:rsidR="00BD5A29" w:rsidRPr="00D07B20">
        <w:rPr>
          <w:bCs/>
          <w:sz w:val="18"/>
          <w:szCs w:val="18"/>
          <w:lang w:val="es-US"/>
        </w:rPr>
        <w:t>pun</w:t>
      </w:r>
      <w:r w:rsidR="00B30BA3" w:rsidRPr="00D07B20">
        <w:rPr>
          <w:bCs/>
          <w:sz w:val="18"/>
          <w:szCs w:val="18"/>
          <w:lang w:val="es-US"/>
        </w:rPr>
        <w:t>ción</w:t>
      </w:r>
      <w:r w:rsidRPr="00D07B20">
        <w:rPr>
          <w:bCs/>
          <w:sz w:val="18"/>
          <w:szCs w:val="18"/>
          <w:lang w:val="es-US"/>
        </w:rPr>
        <w:t xml:space="preserve">) cada vez que se extraiga sangre para cualquier </w:t>
      </w:r>
      <w:r w:rsidR="00227159" w:rsidRPr="00D07B20">
        <w:rPr>
          <w:bCs/>
          <w:sz w:val="18"/>
          <w:szCs w:val="18"/>
          <w:lang w:val="es-US"/>
        </w:rPr>
        <w:t xml:space="preserve">prueba </w:t>
      </w:r>
      <w:r w:rsidRPr="00D07B20">
        <w:rPr>
          <w:bCs/>
          <w:sz w:val="18"/>
          <w:szCs w:val="18"/>
          <w:lang w:val="es-US"/>
        </w:rPr>
        <w:t xml:space="preserve">de </w:t>
      </w:r>
      <w:r w:rsidR="00BD5A29" w:rsidRPr="00D07B20">
        <w:rPr>
          <w:bCs/>
          <w:sz w:val="18"/>
          <w:szCs w:val="18"/>
          <w:lang w:val="es-US"/>
        </w:rPr>
        <w:t xml:space="preserve">laboratorio. </w:t>
      </w:r>
      <w:r w:rsidR="00646947" w:rsidRPr="00D07B20">
        <w:rPr>
          <w:bCs/>
          <w:sz w:val="18"/>
          <w:szCs w:val="18"/>
          <w:lang w:val="es-US"/>
        </w:rPr>
        <w:t xml:space="preserve"> </w:t>
      </w:r>
      <w:r w:rsidR="00BD5A29" w:rsidRPr="00D07B20">
        <w:rPr>
          <w:bCs/>
          <w:sz w:val="18"/>
          <w:szCs w:val="18"/>
          <w:lang w:val="es-US"/>
        </w:rPr>
        <w:t>Para</w:t>
      </w:r>
      <w:r w:rsidRPr="00D07B20">
        <w:rPr>
          <w:bCs/>
          <w:sz w:val="18"/>
          <w:szCs w:val="18"/>
          <w:lang w:val="es-US"/>
        </w:rPr>
        <w:t xml:space="preserve"> pacientes in</w:t>
      </w:r>
      <w:r w:rsidR="00227159" w:rsidRPr="00D07B20">
        <w:rPr>
          <w:bCs/>
          <w:sz w:val="18"/>
          <w:szCs w:val="18"/>
          <w:lang w:val="es-US"/>
        </w:rPr>
        <w:t>ternados s</w:t>
      </w:r>
      <w:r w:rsidRPr="00D07B20">
        <w:rPr>
          <w:bCs/>
          <w:sz w:val="18"/>
          <w:szCs w:val="18"/>
          <w:lang w:val="es-US"/>
        </w:rPr>
        <w:t>e les c</w:t>
      </w:r>
      <w:r w:rsidR="00227159" w:rsidRPr="00D07B20">
        <w:rPr>
          <w:bCs/>
          <w:sz w:val="18"/>
          <w:szCs w:val="18"/>
          <w:lang w:val="es-US"/>
        </w:rPr>
        <w:t xml:space="preserve">obrará por </w:t>
      </w:r>
      <w:r w:rsidRPr="00D07B20">
        <w:rPr>
          <w:bCs/>
          <w:sz w:val="18"/>
          <w:szCs w:val="18"/>
          <w:lang w:val="es-US"/>
        </w:rPr>
        <w:t xml:space="preserve">una </w:t>
      </w:r>
      <w:r w:rsidR="00BD5A29" w:rsidRPr="00D07B20">
        <w:rPr>
          <w:bCs/>
          <w:sz w:val="18"/>
          <w:szCs w:val="18"/>
          <w:lang w:val="es-US"/>
        </w:rPr>
        <w:t>extracción</w:t>
      </w:r>
      <w:r w:rsidRPr="00D07B20">
        <w:rPr>
          <w:bCs/>
          <w:sz w:val="18"/>
          <w:szCs w:val="18"/>
          <w:lang w:val="es-US"/>
        </w:rPr>
        <w:t xml:space="preserve"> por </w:t>
      </w:r>
      <w:r w:rsidR="00BD5A29" w:rsidRPr="00D07B20">
        <w:rPr>
          <w:bCs/>
          <w:sz w:val="18"/>
          <w:szCs w:val="18"/>
          <w:lang w:val="es-US"/>
        </w:rPr>
        <w:t>día</w:t>
      </w:r>
      <w:r w:rsidR="00227159" w:rsidRPr="00D07B20">
        <w:rPr>
          <w:bCs/>
          <w:sz w:val="18"/>
          <w:szCs w:val="18"/>
          <w:lang w:val="es-US"/>
        </w:rPr>
        <w:t xml:space="preserve">.  A los pacientes externos, se les cobrará una extracción </w:t>
      </w:r>
      <w:r w:rsidRPr="00D07B20">
        <w:rPr>
          <w:bCs/>
          <w:sz w:val="18"/>
          <w:szCs w:val="18"/>
          <w:lang w:val="es-US"/>
        </w:rPr>
        <w:t xml:space="preserve">por visita, </w:t>
      </w:r>
      <w:r w:rsidR="00BD5A29" w:rsidRPr="00D07B20">
        <w:rPr>
          <w:bCs/>
          <w:sz w:val="18"/>
          <w:szCs w:val="18"/>
          <w:lang w:val="es-US"/>
        </w:rPr>
        <w:t>además</w:t>
      </w:r>
      <w:r w:rsidRPr="00D07B20">
        <w:rPr>
          <w:bCs/>
          <w:sz w:val="18"/>
          <w:szCs w:val="18"/>
          <w:lang w:val="es-US"/>
        </w:rPr>
        <w:t xml:space="preserve"> de los cargos por las pruebas de laboratorio.</w:t>
      </w:r>
      <w:r w:rsidR="0041536D" w:rsidRPr="00D07B20">
        <w:rPr>
          <w:bCs/>
          <w:sz w:val="18"/>
          <w:szCs w:val="18"/>
          <w:lang w:val="es-US"/>
        </w:rPr>
        <w:t xml:space="preserve"> </w:t>
      </w:r>
    </w:p>
    <w:p w14:paraId="300FBA45" w14:textId="77777777" w:rsidR="00837E5D" w:rsidRPr="00D07B20" w:rsidRDefault="00837E5D">
      <w:pPr>
        <w:spacing w:after="0" w:line="240" w:lineRule="auto"/>
        <w:rPr>
          <w:rFonts w:ascii="Arial" w:hAnsi="Arial" w:cs="Arial"/>
          <w:sz w:val="6"/>
          <w:szCs w:val="6"/>
          <w:lang w:val="es-US"/>
        </w:rPr>
      </w:pPr>
    </w:p>
    <w:p w14:paraId="6669C691" w14:textId="77777777" w:rsidR="00FA22FE" w:rsidRPr="00D07B20" w:rsidRDefault="004805DD" w:rsidP="0012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s-US"/>
        </w:rPr>
      </w:pPr>
      <w:r w:rsidRPr="00D07B20">
        <w:rPr>
          <w:rFonts w:ascii="Arial" w:hAnsi="Arial" w:cs="Arial"/>
          <w:b/>
          <w:sz w:val="18"/>
          <w:szCs w:val="18"/>
          <w:lang w:val="es-US"/>
        </w:rPr>
        <w:t>Las tarifas</w:t>
      </w:r>
      <w:r w:rsidR="00BD5A29" w:rsidRPr="00D07B20">
        <w:rPr>
          <w:rFonts w:ascii="Arial" w:hAnsi="Arial" w:cs="Arial"/>
          <w:b/>
          <w:sz w:val="18"/>
          <w:szCs w:val="18"/>
          <w:lang w:val="es-US"/>
        </w:rPr>
        <w:t xml:space="preserve"> 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por los servicios profesionales que usted reciba en el hospital por parte de los </w:t>
      </w:r>
      <w:r w:rsidR="00BD5A29" w:rsidRPr="00D07B20">
        <w:rPr>
          <w:rFonts w:ascii="Arial" w:hAnsi="Arial" w:cs="Arial"/>
          <w:b/>
          <w:sz w:val="18"/>
          <w:szCs w:val="18"/>
          <w:lang w:val="es-US"/>
        </w:rPr>
        <w:t>médicos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 del hospital y de otros pro</w:t>
      </w:r>
      <w:r w:rsidR="001246C6" w:rsidRPr="00D07B20">
        <w:rPr>
          <w:rFonts w:ascii="Arial" w:hAnsi="Arial" w:cs="Arial"/>
          <w:b/>
          <w:sz w:val="18"/>
          <w:szCs w:val="18"/>
          <w:lang w:val="es-US"/>
        </w:rPr>
        <w:t xml:space="preserve">fesionales de la 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salud tales como asistentes </w:t>
      </w:r>
      <w:r w:rsidR="00BD5A29" w:rsidRPr="00D07B20">
        <w:rPr>
          <w:rFonts w:ascii="Arial" w:hAnsi="Arial" w:cs="Arial"/>
          <w:b/>
          <w:sz w:val="18"/>
          <w:szCs w:val="18"/>
          <w:lang w:val="es-US"/>
        </w:rPr>
        <w:t>médicos diplomados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, </w:t>
      </w:r>
      <w:r w:rsidR="00BD5A29" w:rsidRPr="00D07B20">
        <w:rPr>
          <w:rFonts w:ascii="Arial" w:hAnsi="Arial" w:cs="Arial"/>
          <w:b/>
          <w:sz w:val="18"/>
          <w:szCs w:val="18"/>
          <w:lang w:val="es-US"/>
        </w:rPr>
        <w:t>enfermeras especialistas y otros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 le ser</w:t>
      </w:r>
      <w:r w:rsidR="00BD5A29" w:rsidRPr="00D07B20">
        <w:rPr>
          <w:rFonts w:ascii="Arial" w:hAnsi="Arial" w:cs="Arial"/>
          <w:b/>
          <w:sz w:val="18"/>
          <w:szCs w:val="18"/>
          <w:lang w:val="es-US"/>
        </w:rPr>
        <w:t>á</w:t>
      </w:r>
      <w:r w:rsidRPr="00D07B20">
        <w:rPr>
          <w:rFonts w:ascii="Arial" w:hAnsi="Arial" w:cs="Arial"/>
          <w:b/>
          <w:sz w:val="18"/>
          <w:szCs w:val="18"/>
          <w:lang w:val="es-US"/>
        </w:rPr>
        <w:t xml:space="preserve">n facturados por separado y no forman parte de los </w:t>
      </w:r>
      <w:r w:rsidR="003239BF" w:rsidRPr="00D07B20">
        <w:rPr>
          <w:rFonts w:ascii="Arial" w:hAnsi="Arial" w:cs="Arial"/>
          <w:b/>
          <w:sz w:val="18"/>
          <w:szCs w:val="18"/>
          <w:lang w:val="es-US"/>
        </w:rPr>
        <w:t>c</w:t>
      </w:r>
      <w:r w:rsidR="002E2D3D" w:rsidRPr="00D07B20">
        <w:rPr>
          <w:rFonts w:ascii="Arial" w:hAnsi="Arial" w:cs="Arial"/>
          <w:b/>
          <w:sz w:val="18"/>
          <w:szCs w:val="18"/>
          <w:lang w:val="es-US"/>
        </w:rPr>
        <w:t>argos</w:t>
      </w:r>
      <w:r w:rsidR="003239BF" w:rsidRPr="00D07B20">
        <w:rPr>
          <w:rFonts w:ascii="Arial" w:hAnsi="Arial" w:cs="Arial"/>
          <w:b/>
          <w:sz w:val="18"/>
          <w:szCs w:val="18"/>
          <w:lang w:val="es-US"/>
        </w:rPr>
        <w:t xml:space="preserve"> por servicios hospitalarios.  </w:t>
      </w:r>
      <w:r w:rsidRPr="00D07B20">
        <w:rPr>
          <w:rFonts w:ascii="Arial" w:hAnsi="Arial" w:cs="Arial"/>
          <w:b/>
          <w:sz w:val="18"/>
          <w:szCs w:val="18"/>
          <w:lang w:val="es-US"/>
        </w:rPr>
        <w:t>Si tiene alguna pregunta acerca de sus facturas</w:t>
      </w:r>
      <w:r w:rsidR="003239BF" w:rsidRPr="00D07B20">
        <w:rPr>
          <w:rFonts w:ascii="Arial" w:hAnsi="Arial" w:cs="Arial"/>
          <w:b/>
          <w:sz w:val="18"/>
          <w:szCs w:val="18"/>
          <w:lang w:val="es-US"/>
        </w:rPr>
        <w:t xml:space="preserve">, comuníquese con los </w:t>
      </w:r>
      <w:r w:rsidRPr="00D07B20">
        <w:rPr>
          <w:rFonts w:ascii="Arial" w:hAnsi="Arial" w:cs="Arial"/>
          <w:b/>
          <w:sz w:val="18"/>
          <w:szCs w:val="18"/>
          <w:lang w:val="es-US"/>
        </w:rPr>
        <w:t>siguientes:</w:t>
      </w:r>
    </w:p>
    <w:tbl>
      <w:tblPr>
        <w:tblW w:w="105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4680"/>
      </w:tblGrid>
      <w:tr w:rsidR="00F7570D" w:rsidRPr="00D07B20" w14:paraId="2CD72E2C" w14:textId="77777777" w:rsidTr="00885337">
        <w:trPr>
          <w:trHeight w:val="3230"/>
        </w:trPr>
        <w:tc>
          <w:tcPr>
            <w:tcW w:w="5917" w:type="dxa"/>
          </w:tcPr>
          <w:p w14:paraId="02F38DA5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Cs/>
                <w:sz w:val="4"/>
                <w:szCs w:val="4"/>
                <w:lang w:val="es-US"/>
              </w:rPr>
            </w:pPr>
          </w:p>
          <w:p w14:paraId="548DB062" w14:textId="4526EFD5" w:rsidR="00C47E20" w:rsidRPr="00D07B20" w:rsidRDefault="00C47E20" w:rsidP="00C47E20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Anestesiólogos:  Holy Cross Anesthesia </w:t>
            </w:r>
            <w:r w:rsidR="00DA748C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Asociantes</w:t>
            </w:r>
          </w:p>
          <w:p w14:paraId="5AB47758" w14:textId="77E6AD2E" w:rsidR="00C47E20" w:rsidRPr="00D07B20" w:rsidRDefault="00C47E20" w:rsidP="00C47E20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Grupo de facturación:  </w:t>
            </w:r>
            <w:r w:rsidR="00DA748C" w:rsidRPr="00D07B20">
              <w:rPr>
                <w:rFonts w:ascii="Arial" w:hAnsi="Arial" w:cs="Arial"/>
                <w:sz w:val="18"/>
                <w:szCs w:val="18"/>
                <w:lang w:val="es-US"/>
              </w:rPr>
              <w:t>Medas</w:t>
            </w:r>
          </w:p>
          <w:p w14:paraId="58535058" w14:textId="77777777" w:rsidR="00C47E20" w:rsidRPr="00D07B20" w:rsidRDefault="00C47E20" w:rsidP="00C47E20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800-</w:t>
            </w:r>
            <w:r w:rsidR="007C5017" w:rsidRPr="00D07B20">
              <w:rPr>
                <w:rFonts w:ascii="Arial" w:hAnsi="Arial" w:cs="Arial"/>
                <w:sz w:val="18"/>
                <w:szCs w:val="18"/>
                <w:lang w:val="es-US"/>
              </w:rPr>
              <w:t>394-4445</w:t>
            </w: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14:paraId="0F3E36F5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8"/>
                <w:szCs w:val="8"/>
                <w:lang w:val="es-US"/>
              </w:rPr>
            </w:pPr>
          </w:p>
          <w:p w14:paraId="60CF1990" w14:textId="69638AE7" w:rsidR="003C74BF" w:rsidRPr="00D07B20" w:rsidRDefault="003C74BF" w:rsidP="003C74BF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Cardiólogos:  Forest Glen </w:t>
            </w:r>
            <w:r w:rsidR="00DA748C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Cardiólogo</w:t>
            </w:r>
          </w:p>
          <w:p w14:paraId="04148AE0" w14:textId="77777777" w:rsidR="003C74BF" w:rsidRPr="00D07B20" w:rsidRDefault="003C74BF" w:rsidP="003C74BF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804-2</w:t>
            </w:r>
            <w:r w:rsidR="005A1462" w:rsidRPr="00D07B20">
              <w:rPr>
                <w:rFonts w:ascii="Arial" w:hAnsi="Arial" w:cs="Arial"/>
                <w:sz w:val="18"/>
                <w:szCs w:val="18"/>
                <w:lang w:val="es-US"/>
              </w:rPr>
              <w:t>0</w:t>
            </w: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2-1190.</w:t>
            </w:r>
          </w:p>
          <w:p w14:paraId="23205385" w14:textId="77777777" w:rsidR="00411F80" w:rsidRPr="00D07B20" w:rsidRDefault="00411F80" w:rsidP="003C74BF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8"/>
                <w:szCs w:val="8"/>
                <w:lang w:val="es-US"/>
              </w:rPr>
            </w:pPr>
          </w:p>
          <w:p w14:paraId="2A30EC3C" w14:textId="77777777" w:rsidR="008D26F1" w:rsidRPr="00D07B20" w:rsidRDefault="008D26F1" w:rsidP="008D26F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Médicos de Emergencias:  Silver Spring Emergency Physicians</w:t>
            </w:r>
          </w:p>
          <w:p w14:paraId="31E3883F" w14:textId="77777777" w:rsidR="008D26F1" w:rsidRPr="00D07B20" w:rsidRDefault="008D26F1" w:rsidP="008D26F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>Grupo de facturación:  US Acute Care Solutions</w:t>
            </w:r>
          </w:p>
          <w:p w14:paraId="00EEB98C" w14:textId="77777777" w:rsidR="008D26F1" w:rsidRPr="00D07B20" w:rsidRDefault="008D26F1" w:rsidP="008D26F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>Marque al 855-687-0618.</w:t>
            </w:r>
          </w:p>
          <w:p w14:paraId="6150EF79" w14:textId="77777777" w:rsidR="008D26F1" w:rsidRPr="00D07B20" w:rsidRDefault="008D26F1" w:rsidP="00162AE5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78FFD6F6" w14:textId="77777777" w:rsidR="008D26F1" w:rsidRPr="00D07B20" w:rsidRDefault="008D26F1" w:rsidP="008D26F1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Médicos Hospitalarios:  Team Health</w:t>
            </w:r>
          </w:p>
          <w:p w14:paraId="09E69727" w14:textId="77777777" w:rsidR="008D26F1" w:rsidRPr="00D07B20" w:rsidRDefault="008D26F1" w:rsidP="008D26F1">
            <w:pPr>
              <w:spacing w:after="0" w:line="240" w:lineRule="auto"/>
              <w:rPr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    Marque al 866-661-7868.</w:t>
            </w:r>
          </w:p>
          <w:p w14:paraId="6E416957" w14:textId="77777777" w:rsidR="008D26F1" w:rsidRPr="00D07B20" w:rsidRDefault="008D26F1" w:rsidP="00162AE5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5E7314F5" w14:textId="08DCA225" w:rsidR="00162AE5" w:rsidRPr="00D07B20" w:rsidRDefault="00885337" w:rsidP="00162AE5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Especialistas en </w:t>
            </w:r>
            <w:r w:rsidR="002413F5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</w:t>
            </w: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uidados </w:t>
            </w:r>
            <w:r w:rsidR="002413F5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</w:t>
            </w: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ntensivos</w:t>
            </w:r>
            <w:r w:rsidR="00740C53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, Capital Critical Care, LLC</w:t>
            </w:r>
          </w:p>
          <w:p w14:paraId="7FF7D9A2" w14:textId="32AC37FF" w:rsidR="00411F80" w:rsidRPr="00D07B20" w:rsidRDefault="00740C53" w:rsidP="00162AE5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Maximus Medical Billing,</w:t>
            </w:r>
            <w:r w:rsidR="005537B1"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LLC</w:t>
            </w:r>
          </w:p>
          <w:p w14:paraId="62652BDD" w14:textId="63CB508C" w:rsidR="00F7570D" w:rsidRPr="00D07B20" w:rsidRDefault="00411F80" w:rsidP="00411F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Marque al </w:t>
            </w:r>
            <w:r w:rsidR="00740C53"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>301-774-1320</w:t>
            </w:r>
            <w:r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>.</w:t>
            </w:r>
          </w:p>
          <w:p w14:paraId="5E509B9E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8"/>
                <w:szCs w:val="8"/>
                <w:highlight w:val="cyan"/>
                <w:lang w:val="es-US"/>
              </w:rPr>
            </w:pPr>
          </w:p>
          <w:p w14:paraId="556EF089" w14:textId="77777777" w:rsidR="003738B7" w:rsidRPr="00D07B20" w:rsidRDefault="003738B7" w:rsidP="002B723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1C0EA671" w14:textId="77777777" w:rsidR="003738B7" w:rsidRPr="00D07B20" w:rsidRDefault="003738B7" w:rsidP="008D26F1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s-US"/>
              </w:rPr>
            </w:pPr>
          </w:p>
        </w:tc>
        <w:tc>
          <w:tcPr>
            <w:tcW w:w="4680" w:type="dxa"/>
          </w:tcPr>
          <w:p w14:paraId="7913FB63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4"/>
                <w:szCs w:val="4"/>
                <w:highlight w:val="cyan"/>
                <w:lang w:val="es-US"/>
              </w:rPr>
            </w:pPr>
          </w:p>
          <w:p w14:paraId="0EA009F7" w14:textId="77777777" w:rsidR="00411F80" w:rsidRPr="00D07B20" w:rsidRDefault="00411F80" w:rsidP="00411F80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Neonatólogos:  Community Neonatal Associates </w:t>
            </w:r>
          </w:p>
          <w:p w14:paraId="2CAB0C18" w14:textId="77777777" w:rsidR="00411F80" w:rsidRPr="00D07B20" w:rsidRDefault="00411F80" w:rsidP="00411F80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highlight w:val="cyan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240-566-1600.</w:t>
            </w:r>
          </w:p>
          <w:p w14:paraId="38FBB382" w14:textId="77777777" w:rsidR="009F08F3" w:rsidRPr="00D07B20" w:rsidRDefault="009F08F3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2B22644F" w14:textId="77777777" w:rsidR="000E6D7A" w:rsidRPr="00D07B20" w:rsidRDefault="000E6D7A" w:rsidP="000E6D7A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Perinatólogos:  </w:t>
            </w:r>
            <w:r w:rsidRPr="00D07B20">
              <w:rPr>
                <w:rFonts w:ascii="Arial" w:hAnsi="Arial" w:cs="Arial"/>
                <w:b/>
                <w:sz w:val="18"/>
                <w:szCs w:val="18"/>
                <w:lang w:val="es-US"/>
              </w:rPr>
              <w:t>Greater Washington Maternal-Fetal Medicine</w:t>
            </w:r>
          </w:p>
          <w:p w14:paraId="616EFB9F" w14:textId="77777777" w:rsidR="000E6D7A" w:rsidRPr="00D07B20" w:rsidRDefault="000E6D7A" w:rsidP="000E6D7A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202-741-3560.</w:t>
            </w:r>
          </w:p>
          <w:p w14:paraId="79B7E331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8"/>
                <w:szCs w:val="8"/>
                <w:lang w:val="es-US"/>
              </w:rPr>
            </w:pPr>
          </w:p>
          <w:p w14:paraId="1E93C63D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Radi</w:t>
            </w:r>
            <w:r w:rsidR="000E6D7A"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ólogos:  </w:t>
            </w: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Diagnostic Medical Imaging Associates</w:t>
            </w:r>
          </w:p>
          <w:p w14:paraId="2628DA51" w14:textId="77777777" w:rsidR="00F7570D" w:rsidRPr="00D07B20" w:rsidRDefault="000E6D7A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1-866-953-5869</w:t>
            </w:r>
            <w:r w:rsidR="001A21CB" w:rsidRPr="00D07B20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14:paraId="084C2C32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8"/>
                <w:szCs w:val="8"/>
                <w:lang w:val="es-US"/>
              </w:rPr>
            </w:pPr>
          </w:p>
          <w:p w14:paraId="6D483AAD" w14:textId="77777777" w:rsidR="00B503D9" w:rsidRPr="00D07B20" w:rsidRDefault="00B503D9" w:rsidP="00B503D9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Patólogos Quirúrgicos:  Pathology Associates of </w:t>
            </w:r>
          </w:p>
          <w:p w14:paraId="06FFE7C0" w14:textId="77777777" w:rsidR="00B503D9" w:rsidRPr="00D07B20" w:rsidRDefault="00B503D9" w:rsidP="00B503D9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Silver Spring</w:t>
            </w:r>
          </w:p>
          <w:p w14:paraId="226A6F9E" w14:textId="77777777" w:rsidR="00B503D9" w:rsidRPr="00D07B20" w:rsidRDefault="00B503D9" w:rsidP="00B503D9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Grupo de facturación:  ABEO</w:t>
            </w:r>
          </w:p>
          <w:p w14:paraId="6848C315" w14:textId="77777777" w:rsidR="00B503D9" w:rsidRPr="00D07B20" w:rsidRDefault="00B503D9" w:rsidP="00B503D9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Marque al 240-566-1603</w:t>
            </w:r>
            <w:r w:rsidR="00E652B6" w:rsidRPr="00D07B20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14:paraId="4A70EFCB" w14:textId="77777777" w:rsidR="00F7570D" w:rsidRPr="00D07B20" w:rsidRDefault="00F7570D" w:rsidP="00FB5CA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8"/>
                <w:szCs w:val="8"/>
                <w:lang w:val="es-US"/>
              </w:rPr>
            </w:pPr>
          </w:p>
          <w:p w14:paraId="69AC1F8D" w14:textId="77777777" w:rsidR="00162AE5" w:rsidRPr="00D07B20" w:rsidRDefault="00D10062" w:rsidP="00D10062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Otros Proveedores de Cuidados de Salud:  </w:t>
            </w:r>
          </w:p>
          <w:p w14:paraId="0B435824" w14:textId="6DB7A6CF" w:rsidR="00D10062" w:rsidRPr="00D07B20" w:rsidRDefault="00D10062" w:rsidP="00D10062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b/>
                <w:sz w:val="18"/>
                <w:szCs w:val="18"/>
                <w:lang w:val="es-US"/>
              </w:rPr>
              <w:t>Professional Services of Holy Cross Hospital</w:t>
            </w:r>
          </w:p>
          <w:p w14:paraId="3199107B" w14:textId="77777777" w:rsidR="00D10062" w:rsidRPr="00D07B20" w:rsidRDefault="00D10062" w:rsidP="00D1006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Grupo de </w:t>
            </w:r>
            <w:r w:rsidR="00455747" w:rsidRPr="00D07B20">
              <w:rPr>
                <w:rFonts w:ascii="Arial" w:hAnsi="Arial" w:cs="Arial"/>
                <w:sz w:val="18"/>
                <w:szCs w:val="18"/>
                <w:lang w:val="es-US"/>
              </w:rPr>
              <w:t>f</w:t>
            </w: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acturación:  </w:t>
            </w:r>
            <w:r w:rsidRPr="00D07B20">
              <w:rPr>
                <w:rFonts w:ascii="Arial" w:hAnsi="Arial" w:cs="Arial"/>
                <w:bCs/>
                <w:sz w:val="18"/>
                <w:szCs w:val="18"/>
                <w:lang w:val="es-US"/>
              </w:rPr>
              <w:t>Meridian Financial Management</w:t>
            </w:r>
          </w:p>
          <w:p w14:paraId="581A0963" w14:textId="77777777" w:rsidR="00D10062" w:rsidRPr="00D07B20" w:rsidRDefault="00E652B6" w:rsidP="00D10062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 xml:space="preserve">Marque al </w:t>
            </w:r>
            <w:r w:rsidR="00D10062" w:rsidRPr="00D07B20">
              <w:rPr>
                <w:rFonts w:ascii="Arial" w:hAnsi="Arial" w:cs="Arial"/>
                <w:sz w:val="18"/>
                <w:szCs w:val="18"/>
                <w:lang w:val="es-US"/>
              </w:rPr>
              <w:t>443-274-2900 o 888-429-5380</w:t>
            </w:r>
            <w:r w:rsidRPr="00D07B20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14:paraId="79E6F879" w14:textId="77777777" w:rsidR="00F7570D" w:rsidRPr="00D07B20" w:rsidRDefault="00F7570D" w:rsidP="00D10062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</w:tr>
    </w:tbl>
    <w:p w14:paraId="56131D55" w14:textId="77777777" w:rsidR="00FC4ABB" w:rsidRPr="00D07B20" w:rsidRDefault="00FC4ABB" w:rsidP="008B6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  <w:lang w:val="es-US"/>
        </w:rPr>
      </w:pPr>
    </w:p>
    <w:p w14:paraId="36592D6E" w14:textId="22440522" w:rsidR="00B4224A" w:rsidRPr="00D07B20" w:rsidRDefault="00B4224A" w:rsidP="008B6131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Arial" w:hAnsi="Arial" w:cs="Arial"/>
          <w:b/>
          <w:sz w:val="16"/>
          <w:szCs w:val="16"/>
          <w:lang w:val="es-US"/>
        </w:rPr>
      </w:pPr>
    </w:p>
    <w:p w14:paraId="1630AFDA" w14:textId="24156A9A" w:rsidR="00B4224A" w:rsidRPr="00D07B20" w:rsidRDefault="00B4224A" w:rsidP="006A5F60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Arial" w:hAnsi="Arial" w:cs="Arial"/>
          <w:b/>
          <w:sz w:val="16"/>
          <w:szCs w:val="16"/>
          <w:lang w:val="es-US"/>
        </w:rPr>
      </w:pPr>
      <w:r w:rsidRPr="00D07B20">
        <w:rPr>
          <w:rFonts w:ascii="Arial" w:hAnsi="Arial" w:cs="Arial"/>
          <w:b/>
          <w:sz w:val="16"/>
          <w:szCs w:val="16"/>
          <w:lang w:val="es-US"/>
        </w:rPr>
        <w:t xml:space="preserve">Página </w:t>
      </w:r>
      <w:r w:rsidR="00E11399" w:rsidRPr="00D07B20">
        <w:rPr>
          <w:rFonts w:ascii="Arial" w:hAnsi="Arial" w:cs="Arial"/>
          <w:b/>
          <w:sz w:val="16"/>
          <w:szCs w:val="16"/>
          <w:lang w:val="es-US"/>
        </w:rPr>
        <w:t>3</w:t>
      </w:r>
      <w:r w:rsidRPr="00D07B20">
        <w:rPr>
          <w:rFonts w:ascii="Arial" w:hAnsi="Arial" w:cs="Arial"/>
          <w:b/>
          <w:sz w:val="16"/>
          <w:szCs w:val="16"/>
          <w:lang w:val="es-US"/>
        </w:rPr>
        <w:t xml:space="preserve"> de </w:t>
      </w:r>
      <w:r w:rsidR="00E11399" w:rsidRPr="00D07B20">
        <w:rPr>
          <w:rFonts w:ascii="Arial" w:hAnsi="Arial" w:cs="Arial"/>
          <w:b/>
          <w:sz w:val="16"/>
          <w:szCs w:val="16"/>
          <w:lang w:val="es-US"/>
        </w:rPr>
        <w:t>3</w:t>
      </w:r>
    </w:p>
    <w:sectPr w:rsidR="00B4224A" w:rsidRPr="00D07B20" w:rsidSect="004D708E">
      <w:pgSz w:w="12240" w:h="15840"/>
      <w:pgMar w:top="864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E66" w14:textId="77777777" w:rsidR="00BF4D03" w:rsidRDefault="00BF4D03" w:rsidP="0072089E">
      <w:pPr>
        <w:spacing w:after="0" w:line="240" w:lineRule="auto"/>
      </w:pPr>
      <w:r>
        <w:separator/>
      </w:r>
    </w:p>
  </w:endnote>
  <w:endnote w:type="continuationSeparator" w:id="0">
    <w:p w14:paraId="3A1DE9FF" w14:textId="77777777" w:rsidR="00BF4D03" w:rsidRDefault="00BF4D03" w:rsidP="0072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850B" w14:textId="77777777" w:rsidR="00BF4D03" w:rsidRDefault="00BF4D03" w:rsidP="0072089E">
      <w:pPr>
        <w:spacing w:after="0" w:line="240" w:lineRule="auto"/>
      </w:pPr>
      <w:r>
        <w:separator/>
      </w:r>
    </w:p>
  </w:footnote>
  <w:footnote w:type="continuationSeparator" w:id="0">
    <w:p w14:paraId="0A887FE4" w14:textId="77777777" w:rsidR="00BF4D03" w:rsidRDefault="00BF4D03" w:rsidP="0072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F5"/>
    <w:rsid w:val="0000038F"/>
    <w:rsid w:val="00001A07"/>
    <w:rsid w:val="00003503"/>
    <w:rsid w:val="00005B25"/>
    <w:rsid w:val="000063BD"/>
    <w:rsid w:val="000109A3"/>
    <w:rsid w:val="00011127"/>
    <w:rsid w:val="000213A6"/>
    <w:rsid w:val="0003248C"/>
    <w:rsid w:val="00033B1A"/>
    <w:rsid w:val="00035C71"/>
    <w:rsid w:val="00040D8F"/>
    <w:rsid w:val="00040E4D"/>
    <w:rsid w:val="00041670"/>
    <w:rsid w:val="00041A8C"/>
    <w:rsid w:val="000428AD"/>
    <w:rsid w:val="00042D0B"/>
    <w:rsid w:val="00047232"/>
    <w:rsid w:val="00055D46"/>
    <w:rsid w:val="000600D6"/>
    <w:rsid w:val="00061BAD"/>
    <w:rsid w:val="00064F1D"/>
    <w:rsid w:val="00066CA1"/>
    <w:rsid w:val="00090DAA"/>
    <w:rsid w:val="00094112"/>
    <w:rsid w:val="000949AE"/>
    <w:rsid w:val="000956F7"/>
    <w:rsid w:val="000A3516"/>
    <w:rsid w:val="000A6F23"/>
    <w:rsid w:val="000A704E"/>
    <w:rsid w:val="000B0F4F"/>
    <w:rsid w:val="000B422F"/>
    <w:rsid w:val="000B506A"/>
    <w:rsid w:val="000B5221"/>
    <w:rsid w:val="000B5F7E"/>
    <w:rsid w:val="000C0E76"/>
    <w:rsid w:val="000C17EC"/>
    <w:rsid w:val="000C5619"/>
    <w:rsid w:val="000C644E"/>
    <w:rsid w:val="000D0BF3"/>
    <w:rsid w:val="000D31FC"/>
    <w:rsid w:val="000D35FD"/>
    <w:rsid w:val="000D37BF"/>
    <w:rsid w:val="000D6105"/>
    <w:rsid w:val="000D6DC5"/>
    <w:rsid w:val="000E233C"/>
    <w:rsid w:val="000E3624"/>
    <w:rsid w:val="000E51A0"/>
    <w:rsid w:val="000E6D7A"/>
    <w:rsid w:val="000E7474"/>
    <w:rsid w:val="000E78B1"/>
    <w:rsid w:val="000F07A8"/>
    <w:rsid w:val="000F0B8B"/>
    <w:rsid w:val="000F1500"/>
    <w:rsid w:val="000F5F3B"/>
    <w:rsid w:val="0010087F"/>
    <w:rsid w:val="00104156"/>
    <w:rsid w:val="00107701"/>
    <w:rsid w:val="00112866"/>
    <w:rsid w:val="001138C1"/>
    <w:rsid w:val="001142CB"/>
    <w:rsid w:val="001145AB"/>
    <w:rsid w:val="00117282"/>
    <w:rsid w:val="001246C6"/>
    <w:rsid w:val="00126130"/>
    <w:rsid w:val="00126736"/>
    <w:rsid w:val="00130E39"/>
    <w:rsid w:val="00131EB3"/>
    <w:rsid w:val="00137334"/>
    <w:rsid w:val="00144D90"/>
    <w:rsid w:val="00145ADE"/>
    <w:rsid w:val="00146855"/>
    <w:rsid w:val="0014752B"/>
    <w:rsid w:val="001505D1"/>
    <w:rsid w:val="00151760"/>
    <w:rsid w:val="00157BAA"/>
    <w:rsid w:val="00162444"/>
    <w:rsid w:val="00162AE5"/>
    <w:rsid w:val="00164C75"/>
    <w:rsid w:val="00165A8B"/>
    <w:rsid w:val="00166705"/>
    <w:rsid w:val="00170315"/>
    <w:rsid w:val="00171430"/>
    <w:rsid w:val="001716D1"/>
    <w:rsid w:val="00171B9E"/>
    <w:rsid w:val="00171E11"/>
    <w:rsid w:val="00174E8D"/>
    <w:rsid w:val="00175DF0"/>
    <w:rsid w:val="0018087E"/>
    <w:rsid w:val="0018307D"/>
    <w:rsid w:val="00184A80"/>
    <w:rsid w:val="001859BD"/>
    <w:rsid w:val="00185B42"/>
    <w:rsid w:val="00186B69"/>
    <w:rsid w:val="001871A5"/>
    <w:rsid w:val="0019197B"/>
    <w:rsid w:val="00193122"/>
    <w:rsid w:val="00194919"/>
    <w:rsid w:val="001A1458"/>
    <w:rsid w:val="001A21CB"/>
    <w:rsid w:val="001A308F"/>
    <w:rsid w:val="001A33E0"/>
    <w:rsid w:val="001B21F4"/>
    <w:rsid w:val="001B66EA"/>
    <w:rsid w:val="001C0D06"/>
    <w:rsid w:val="001C2642"/>
    <w:rsid w:val="001C4349"/>
    <w:rsid w:val="001C65EA"/>
    <w:rsid w:val="001C7CB1"/>
    <w:rsid w:val="001D164F"/>
    <w:rsid w:val="001D2CB1"/>
    <w:rsid w:val="001E20E6"/>
    <w:rsid w:val="001E7D43"/>
    <w:rsid w:val="001F1CD9"/>
    <w:rsid w:val="001F624E"/>
    <w:rsid w:val="001F652E"/>
    <w:rsid w:val="001F686A"/>
    <w:rsid w:val="00207CB0"/>
    <w:rsid w:val="00211B2B"/>
    <w:rsid w:val="00211DCE"/>
    <w:rsid w:val="00212B27"/>
    <w:rsid w:val="00215933"/>
    <w:rsid w:val="00215D72"/>
    <w:rsid w:val="00216A81"/>
    <w:rsid w:val="00221306"/>
    <w:rsid w:val="00221B92"/>
    <w:rsid w:val="002228A8"/>
    <w:rsid w:val="002231F3"/>
    <w:rsid w:val="00227159"/>
    <w:rsid w:val="0023356A"/>
    <w:rsid w:val="0023468C"/>
    <w:rsid w:val="0023541E"/>
    <w:rsid w:val="00235CD8"/>
    <w:rsid w:val="00236CE1"/>
    <w:rsid w:val="00240164"/>
    <w:rsid w:val="002413F5"/>
    <w:rsid w:val="0024522A"/>
    <w:rsid w:val="00251B44"/>
    <w:rsid w:val="0025268F"/>
    <w:rsid w:val="00252D8F"/>
    <w:rsid w:val="00257898"/>
    <w:rsid w:val="002645A2"/>
    <w:rsid w:val="00265123"/>
    <w:rsid w:val="002669FB"/>
    <w:rsid w:val="002705BA"/>
    <w:rsid w:val="0028178F"/>
    <w:rsid w:val="0028312E"/>
    <w:rsid w:val="0028678C"/>
    <w:rsid w:val="00287923"/>
    <w:rsid w:val="00291461"/>
    <w:rsid w:val="002924CA"/>
    <w:rsid w:val="00293B30"/>
    <w:rsid w:val="002962D2"/>
    <w:rsid w:val="002968ED"/>
    <w:rsid w:val="002A0845"/>
    <w:rsid w:val="002A71FD"/>
    <w:rsid w:val="002B7236"/>
    <w:rsid w:val="002B7F04"/>
    <w:rsid w:val="002C0283"/>
    <w:rsid w:val="002C0B57"/>
    <w:rsid w:val="002C6DE4"/>
    <w:rsid w:val="002C774A"/>
    <w:rsid w:val="002D11B2"/>
    <w:rsid w:val="002D1496"/>
    <w:rsid w:val="002D3BC4"/>
    <w:rsid w:val="002D4937"/>
    <w:rsid w:val="002D58B4"/>
    <w:rsid w:val="002D6A1A"/>
    <w:rsid w:val="002D7B33"/>
    <w:rsid w:val="002E2D3D"/>
    <w:rsid w:val="002E779D"/>
    <w:rsid w:val="002F1EC9"/>
    <w:rsid w:val="002F6E41"/>
    <w:rsid w:val="00303CD6"/>
    <w:rsid w:val="00304238"/>
    <w:rsid w:val="0030705B"/>
    <w:rsid w:val="003070FA"/>
    <w:rsid w:val="00307E4A"/>
    <w:rsid w:val="00307F1F"/>
    <w:rsid w:val="00314A48"/>
    <w:rsid w:val="003154C6"/>
    <w:rsid w:val="00321FBE"/>
    <w:rsid w:val="003239BF"/>
    <w:rsid w:val="003262CC"/>
    <w:rsid w:val="00332248"/>
    <w:rsid w:val="003343FD"/>
    <w:rsid w:val="00336399"/>
    <w:rsid w:val="003415FA"/>
    <w:rsid w:val="0034245F"/>
    <w:rsid w:val="003433CA"/>
    <w:rsid w:val="00347A80"/>
    <w:rsid w:val="003513B6"/>
    <w:rsid w:val="00352C14"/>
    <w:rsid w:val="00352C70"/>
    <w:rsid w:val="003536C9"/>
    <w:rsid w:val="00354E84"/>
    <w:rsid w:val="0036318A"/>
    <w:rsid w:val="0036715F"/>
    <w:rsid w:val="00372B12"/>
    <w:rsid w:val="003738B7"/>
    <w:rsid w:val="00381402"/>
    <w:rsid w:val="00382919"/>
    <w:rsid w:val="00382AE2"/>
    <w:rsid w:val="0038488A"/>
    <w:rsid w:val="00387B9D"/>
    <w:rsid w:val="0039550E"/>
    <w:rsid w:val="003A33A1"/>
    <w:rsid w:val="003A70E8"/>
    <w:rsid w:val="003A72E6"/>
    <w:rsid w:val="003B216C"/>
    <w:rsid w:val="003B46D6"/>
    <w:rsid w:val="003C0134"/>
    <w:rsid w:val="003C0EB4"/>
    <w:rsid w:val="003C2A95"/>
    <w:rsid w:val="003C35AA"/>
    <w:rsid w:val="003C746C"/>
    <w:rsid w:val="003C74BF"/>
    <w:rsid w:val="003D13BC"/>
    <w:rsid w:val="003D1C4E"/>
    <w:rsid w:val="003D4F87"/>
    <w:rsid w:val="003D5476"/>
    <w:rsid w:val="003D606C"/>
    <w:rsid w:val="003E15E4"/>
    <w:rsid w:val="003E276F"/>
    <w:rsid w:val="003E2D4D"/>
    <w:rsid w:val="003E3C54"/>
    <w:rsid w:val="003E6042"/>
    <w:rsid w:val="003E6F93"/>
    <w:rsid w:val="003F00A2"/>
    <w:rsid w:val="003F1A4B"/>
    <w:rsid w:val="003F2B90"/>
    <w:rsid w:val="003F3BBB"/>
    <w:rsid w:val="003F455A"/>
    <w:rsid w:val="003F4822"/>
    <w:rsid w:val="003F4F12"/>
    <w:rsid w:val="0040024C"/>
    <w:rsid w:val="004041AB"/>
    <w:rsid w:val="00404319"/>
    <w:rsid w:val="00405C31"/>
    <w:rsid w:val="004079C3"/>
    <w:rsid w:val="00410186"/>
    <w:rsid w:val="00411F00"/>
    <w:rsid w:val="00411F80"/>
    <w:rsid w:val="00412C2D"/>
    <w:rsid w:val="00412EEC"/>
    <w:rsid w:val="00415362"/>
    <w:rsid w:val="0041536D"/>
    <w:rsid w:val="00417602"/>
    <w:rsid w:val="0042289A"/>
    <w:rsid w:val="0042386E"/>
    <w:rsid w:val="00423CBB"/>
    <w:rsid w:val="004244F8"/>
    <w:rsid w:val="004269E5"/>
    <w:rsid w:val="004317B3"/>
    <w:rsid w:val="00431869"/>
    <w:rsid w:val="00432650"/>
    <w:rsid w:val="004378E1"/>
    <w:rsid w:val="0044150B"/>
    <w:rsid w:val="00443113"/>
    <w:rsid w:val="00452C1E"/>
    <w:rsid w:val="0045506A"/>
    <w:rsid w:val="00455747"/>
    <w:rsid w:val="00456AF4"/>
    <w:rsid w:val="00463836"/>
    <w:rsid w:val="00470504"/>
    <w:rsid w:val="00470907"/>
    <w:rsid w:val="00470A29"/>
    <w:rsid w:val="0047210C"/>
    <w:rsid w:val="004760E6"/>
    <w:rsid w:val="00476E5A"/>
    <w:rsid w:val="004805DD"/>
    <w:rsid w:val="00483F04"/>
    <w:rsid w:val="0048496F"/>
    <w:rsid w:val="004862AC"/>
    <w:rsid w:val="00486FC2"/>
    <w:rsid w:val="00492CB5"/>
    <w:rsid w:val="0049359B"/>
    <w:rsid w:val="004936BF"/>
    <w:rsid w:val="00495A7F"/>
    <w:rsid w:val="004A24D7"/>
    <w:rsid w:val="004B1FA0"/>
    <w:rsid w:val="004B7636"/>
    <w:rsid w:val="004B7EA5"/>
    <w:rsid w:val="004C2C5A"/>
    <w:rsid w:val="004C4B26"/>
    <w:rsid w:val="004C4F9D"/>
    <w:rsid w:val="004C6AD7"/>
    <w:rsid w:val="004D0E44"/>
    <w:rsid w:val="004D3DC4"/>
    <w:rsid w:val="004D69D4"/>
    <w:rsid w:val="004D708E"/>
    <w:rsid w:val="004D761E"/>
    <w:rsid w:val="004E2700"/>
    <w:rsid w:val="004E5E81"/>
    <w:rsid w:val="004F2D1A"/>
    <w:rsid w:val="004F3FF6"/>
    <w:rsid w:val="004F42C1"/>
    <w:rsid w:val="004F5807"/>
    <w:rsid w:val="00502590"/>
    <w:rsid w:val="00504633"/>
    <w:rsid w:val="005130D9"/>
    <w:rsid w:val="00523DCA"/>
    <w:rsid w:val="00523ECC"/>
    <w:rsid w:val="00526937"/>
    <w:rsid w:val="00534B22"/>
    <w:rsid w:val="00535137"/>
    <w:rsid w:val="00541C71"/>
    <w:rsid w:val="00542B63"/>
    <w:rsid w:val="00543BC0"/>
    <w:rsid w:val="00545F48"/>
    <w:rsid w:val="00553168"/>
    <w:rsid w:val="005537B1"/>
    <w:rsid w:val="005555B8"/>
    <w:rsid w:val="005556EF"/>
    <w:rsid w:val="00556E94"/>
    <w:rsid w:val="005609FE"/>
    <w:rsid w:val="005614A4"/>
    <w:rsid w:val="0056374B"/>
    <w:rsid w:val="005657A4"/>
    <w:rsid w:val="00566238"/>
    <w:rsid w:val="00567AC2"/>
    <w:rsid w:val="0057116A"/>
    <w:rsid w:val="0058370B"/>
    <w:rsid w:val="00583C0A"/>
    <w:rsid w:val="005848E2"/>
    <w:rsid w:val="005A06E3"/>
    <w:rsid w:val="005A0AED"/>
    <w:rsid w:val="005A1462"/>
    <w:rsid w:val="005A3D6A"/>
    <w:rsid w:val="005A58EF"/>
    <w:rsid w:val="005A5AFA"/>
    <w:rsid w:val="005B21F4"/>
    <w:rsid w:val="005B3084"/>
    <w:rsid w:val="005B30BC"/>
    <w:rsid w:val="005B378E"/>
    <w:rsid w:val="005B3C4A"/>
    <w:rsid w:val="005B52B9"/>
    <w:rsid w:val="005B65FB"/>
    <w:rsid w:val="005C0518"/>
    <w:rsid w:val="005C1B9B"/>
    <w:rsid w:val="005C1F4D"/>
    <w:rsid w:val="005C482E"/>
    <w:rsid w:val="005C4B69"/>
    <w:rsid w:val="005C52A8"/>
    <w:rsid w:val="005C7A56"/>
    <w:rsid w:val="005C7EA4"/>
    <w:rsid w:val="005D03FA"/>
    <w:rsid w:val="005E2CFD"/>
    <w:rsid w:val="005E4931"/>
    <w:rsid w:val="005E5B55"/>
    <w:rsid w:val="005E6068"/>
    <w:rsid w:val="005F0698"/>
    <w:rsid w:val="005F1CE5"/>
    <w:rsid w:val="005F352C"/>
    <w:rsid w:val="00600E4C"/>
    <w:rsid w:val="00604F4F"/>
    <w:rsid w:val="006055D9"/>
    <w:rsid w:val="00616951"/>
    <w:rsid w:val="00617952"/>
    <w:rsid w:val="006215D9"/>
    <w:rsid w:val="00623B30"/>
    <w:rsid w:val="00626666"/>
    <w:rsid w:val="00627843"/>
    <w:rsid w:val="00634AF9"/>
    <w:rsid w:val="00641F14"/>
    <w:rsid w:val="00642408"/>
    <w:rsid w:val="00643248"/>
    <w:rsid w:val="00646947"/>
    <w:rsid w:val="00651AFC"/>
    <w:rsid w:val="00653692"/>
    <w:rsid w:val="00663C14"/>
    <w:rsid w:val="0066671E"/>
    <w:rsid w:val="006679AF"/>
    <w:rsid w:val="006723F1"/>
    <w:rsid w:val="00674210"/>
    <w:rsid w:val="00675560"/>
    <w:rsid w:val="00677A18"/>
    <w:rsid w:val="006807CE"/>
    <w:rsid w:val="00681F90"/>
    <w:rsid w:val="006840A8"/>
    <w:rsid w:val="00685494"/>
    <w:rsid w:val="006909B9"/>
    <w:rsid w:val="00692C69"/>
    <w:rsid w:val="00696F1F"/>
    <w:rsid w:val="006A1D10"/>
    <w:rsid w:val="006A5F60"/>
    <w:rsid w:val="006A7E70"/>
    <w:rsid w:val="006B01A7"/>
    <w:rsid w:val="006B04A1"/>
    <w:rsid w:val="006B0D44"/>
    <w:rsid w:val="006B45CA"/>
    <w:rsid w:val="006C722B"/>
    <w:rsid w:val="006D1B8C"/>
    <w:rsid w:val="006D1ECE"/>
    <w:rsid w:val="006D3E34"/>
    <w:rsid w:val="006D79BB"/>
    <w:rsid w:val="006E092B"/>
    <w:rsid w:val="006E3D0B"/>
    <w:rsid w:val="006F48DF"/>
    <w:rsid w:val="006F700D"/>
    <w:rsid w:val="00707A63"/>
    <w:rsid w:val="00710A67"/>
    <w:rsid w:val="00713157"/>
    <w:rsid w:val="0072089E"/>
    <w:rsid w:val="00720925"/>
    <w:rsid w:val="007236BC"/>
    <w:rsid w:val="0072578B"/>
    <w:rsid w:val="00726238"/>
    <w:rsid w:val="0072760C"/>
    <w:rsid w:val="00730333"/>
    <w:rsid w:val="007360D5"/>
    <w:rsid w:val="00736F8C"/>
    <w:rsid w:val="00740C53"/>
    <w:rsid w:val="00741DDE"/>
    <w:rsid w:val="00743123"/>
    <w:rsid w:val="007436C8"/>
    <w:rsid w:val="00756451"/>
    <w:rsid w:val="0076036C"/>
    <w:rsid w:val="0076255D"/>
    <w:rsid w:val="00762A75"/>
    <w:rsid w:val="007644B1"/>
    <w:rsid w:val="0077454C"/>
    <w:rsid w:val="0077478B"/>
    <w:rsid w:val="00783ADB"/>
    <w:rsid w:val="00786EC0"/>
    <w:rsid w:val="00797DAD"/>
    <w:rsid w:val="007A0166"/>
    <w:rsid w:val="007A7A9C"/>
    <w:rsid w:val="007B1813"/>
    <w:rsid w:val="007B2081"/>
    <w:rsid w:val="007B6F1C"/>
    <w:rsid w:val="007B7B8F"/>
    <w:rsid w:val="007C0281"/>
    <w:rsid w:val="007C06B6"/>
    <w:rsid w:val="007C1FC8"/>
    <w:rsid w:val="007C279D"/>
    <w:rsid w:val="007C4ECD"/>
    <w:rsid w:val="007C5017"/>
    <w:rsid w:val="007C64AD"/>
    <w:rsid w:val="007C6BF9"/>
    <w:rsid w:val="007D3758"/>
    <w:rsid w:val="007D4CFD"/>
    <w:rsid w:val="007D6F6F"/>
    <w:rsid w:val="007E173D"/>
    <w:rsid w:val="007E19EF"/>
    <w:rsid w:val="007E2B59"/>
    <w:rsid w:val="007E7B99"/>
    <w:rsid w:val="007F2008"/>
    <w:rsid w:val="007F3645"/>
    <w:rsid w:val="007F508E"/>
    <w:rsid w:val="007F6670"/>
    <w:rsid w:val="007F6CA6"/>
    <w:rsid w:val="007F7E0E"/>
    <w:rsid w:val="007F7E5B"/>
    <w:rsid w:val="00800ED4"/>
    <w:rsid w:val="00802152"/>
    <w:rsid w:val="008028AA"/>
    <w:rsid w:val="0080477C"/>
    <w:rsid w:val="0080676D"/>
    <w:rsid w:val="00807025"/>
    <w:rsid w:val="0082303E"/>
    <w:rsid w:val="00831A71"/>
    <w:rsid w:val="008345EF"/>
    <w:rsid w:val="008363C1"/>
    <w:rsid w:val="00837E5D"/>
    <w:rsid w:val="008411ED"/>
    <w:rsid w:val="00842E8A"/>
    <w:rsid w:val="008432FC"/>
    <w:rsid w:val="00844CD5"/>
    <w:rsid w:val="008467EF"/>
    <w:rsid w:val="0084728E"/>
    <w:rsid w:val="00853A89"/>
    <w:rsid w:val="008578C2"/>
    <w:rsid w:val="00863289"/>
    <w:rsid w:val="00863381"/>
    <w:rsid w:val="008651DE"/>
    <w:rsid w:val="00866D28"/>
    <w:rsid w:val="00870696"/>
    <w:rsid w:val="00885337"/>
    <w:rsid w:val="00890BBD"/>
    <w:rsid w:val="00893B02"/>
    <w:rsid w:val="0089409E"/>
    <w:rsid w:val="0089450A"/>
    <w:rsid w:val="008A1711"/>
    <w:rsid w:val="008A3706"/>
    <w:rsid w:val="008A6D0D"/>
    <w:rsid w:val="008B4631"/>
    <w:rsid w:val="008B544D"/>
    <w:rsid w:val="008B6131"/>
    <w:rsid w:val="008D2548"/>
    <w:rsid w:val="008D26F1"/>
    <w:rsid w:val="008D6188"/>
    <w:rsid w:val="008E1497"/>
    <w:rsid w:val="008E58C3"/>
    <w:rsid w:val="008E71AC"/>
    <w:rsid w:val="008F2459"/>
    <w:rsid w:val="008F560C"/>
    <w:rsid w:val="008F6A4A"/>
    <w:rsid w:val="009003A8"/>
    <w:rsid w:val="00902556"/>
    <w:rsid w:val="00904245"/>
    <w:rsid w:val="0090708F"/>
    <w:rsid w:val="00907985"/>
    <w:rsid w:val="009107DB"/>
    <w:rsid w:val="0091300C"/>
    <w:rsid w:val="0091659B"/>
    <w:rsid w:val="00920255"/>
    <w:rsid w:val="00921F6E"/>
    <w:rsid w:val="00922C03"/>
    <w:rsid w:val="00925700"/>
    <w:rsid w:val="009270DA"/>
    <w:rsid w:val="009331A8"/>
    <w:rsid w:val="00936B40"/>
    <w:rsid w:val="00941407"/>
    <w:rsid w:val="009443A8"/>
    <w:rsid w:val="0094598F"/>
    <w:rsid w:val="0094793D"/>
    <w:rsid w:val="0095086C"/>
    <w:rsid w:val="00952B82"/>
    <w:rsid w:val="009539F9"/>
    <w:rsid w:val="009574E1"/>
    <w:rsid w:val="00966DA9"/>
    <w:rsid w:val="009738A8"/>
    <w:rsid w:val="00975699"/>
    <w:rsid w:val="00975F0C"/>
    <w:rsid w:val="009768A9"/>
    <w:rsid w:val="00981F95"/>
    <w:rsid w:val="00982E3C"/>
    <w:rsid w:val="009830AF"/>
    <w:rsid w:val="009830BE"/>
    <w:rsid w:val="00986458"/>
    <w:rsid w:val="0099234E"/>
    <w:rsid w:val="00993709"/>
    <w:rsid w:val="0099414E"/>
    <w:rsid w:val="009949BA"/>
    <w:rsid w:val="00994F31"/>
    <w:rsid w:val="009A0C7D"/>
    <w:rsid w:val="009A370F"/>
    <w:rsid w:val="009A3C4D"/>
    <w:rsid w:val="009A3CD3"/>
    <w:rsid w:val="009A6E3B"/>
    <w:rsid w:val="009A7E91"/>
    <w:rsid w:val="009B1DE5"/>
    <w:rsid w:val="009B37AE"/>
    <w:rsid w:val="009B445C"/>
    <w:rsid w:val="009B56BD"/>
    <w:rsid w:val="009B58F2"/>
    <w:rsid w:val="009C4B33"/>
    <w:rsid w:val="009C609B"/>
    <w:rsid w:val="009D0FA9"/>
    <w:rsid w:val="009D1ECB"/>
    <w:rsid w:val="009D252D"/>
    <w:rsid w:val="009D63EC"/>
    <w:rsid w:val="009E3004"/>
    <w:rsid w:val="009F08F3"/>
    <w:rsid w:val="009F2613"/>
    <w:rsid w:val="009F2EE2"/>
    <w:rsid w:val="009F730B"/>
    <w:rsid w:val="00A04D26"/>
    <w:rsid w:val="00A04EAD"/>
    <w:rsid w:val="00A05AC7"/>
    <w:rsid w:val="00A05D87"/>
    <w:rsid w:val="00A06DB5"/>
    <w:rsid w:val="00A07D31"/>
    <w:rsid w:val="00A10AB5"/>
    <w:rsid w:val="00A12633"/>
    <w:rsid w:val="00A243A9"/>
    <w:rsid w:val="00A244A8"/>
    <w:rsid w:val="00A31736"/>
    <w:rsid w:val="00A32E8B"/>
    <w:rsid w:val="00A35CEE"/>
    <w:rsid w:val="00A366B3"/>
    <w:rsid w:val="00A5025B"/>
    <w:rsid w:val="00A52D04"/>
    <w:rsid w:val="00A53E05"/>
    <w:rsid w:val="00A54070"/>
    <w:rsid w:val="00A6058E"/>
    <w:rsid w:val="00A61187"/>
    <w:rsid w:val="00A647C1"/>
    <w:rsid w:val="00A7062C"/>
    <w:rsid w:val="00A7107D"/>
    <w:rsid w:val="00A710F5"/>
    <w:rsid w:val="00A74F7C"/>
    <w:rsid w:val="00A769BF"/>
    <w:rsid w:val="00A7731B"/>
    <w:rsid w:val="00A81C7B"/>
    <w:rsid w:val="00A82159"/>
    <w:rsid w:val="00A826CB"/>
    <w:rsid w:val="00A838F1"/>
    <w:rsid w:val="00A87138"/>
    <w:rsid w:val="00A8765B"/>
    <w:rsid w:val="00A90AF8"/>
    <w:rsid w:val="00A9135E"/>
    <w:rsid w:val="00A915A0"/>
    <w:rsid w:val="00AA005B"/>
    <w:rsid w:val="00AA0CC0"/>
    <w:rsid w:val="00AA453F"/>
    <w:rsid w:val="00AA5439"/>
    <w:rsid w:val="00AB11F6"/>
    <w:rsid w:val="00AB2DA0"/>
    <w:rsid w:val="00AB4101"/>
    <w:rsid w:val="00AB510D"/>
    <w:rsid w:val="00AC1437"/>
    <w:rsid w:val="00AC1EA4"/>
    <w:rsid w:val="00AD0A1B"/>
    <w:rsid w:val="00AD3E2F"/>
    <w:rsid w:val="00AD610F"/>
    <w:rsid w:val="00AD6452"/>
    <w:rsid w:val="00AE15AF"/>
    <w:rsid w:val="00AE178B"/>
    <w:rsid w:val="00AE18FC"/>
    <w:rsid w:val="00AE263F"/>
    <w:rsid w:val="00AE3764"/>
    <w:rsid w:val="00AE67B4"/>
    <w:rsid w:val="00AF541D"/>
    <w:rsid w:val="00AF5BB6"/>
    <w:rsid w:val="00AF7AAC"/>
    <w:rsid w:val="00B018EA"/>
    <w:rsid w:val="00B01FAB"/>
    <w:rsid w:val="00B02B04"/>
    <w:rsid w:val="00B0358F"/>
    <w:rsid w:val="00B0482F"/>
    <w:rsid w:val="00B050D2"/>
    <w:rsid w:val="00B06290"/>
    <w:rsid w:val="00B06D27"/>
    <w:rsid w:val="00B07A0D"/>
    <w:rsid w:val="00B13654"/>
    <w:rsid w:val="00B17FC2"/>
    <w:rsid w:val="00B20DFA"/>
    <w:rsid w:val="00B2125D"/>
    <w:rsid w:val="00B23B5E"/>
    <w:rsid w:val="00B30BA3"/>
    <w:rsid w:val="00B30BC3"/>
    <w:rsid w:val="00B31FF6"/>
    <w:rsid w:val="00B40A80"/>
    <w:rsid w:val="00B417EF"/>
    <w:rsid w:val="00B4206D"/>
    <w:rsid w:val="00B4224A"/>
    <w:rsid w:val="00B44D90"/>
    <w:rsid w:val="00B45A52"/>
    <w:rsid w:val="00B45C1D"/>
    <w:rsid w:val="00B477DA"/>
    <w:rsid w:val="00B503D9"/>
    <w:rsid w:val="00B60ECD"/>
    <w:rsid w:val="00B62A1C"/>
    <w:rsid w:val="00B62B67"/>
    <w:rsid w:val="00B7542B"/>
    <w:rsid w:val="00B7771B"/>
    <w:rsid w:val="00B81EBD"/>
    <w:rsid w:val="00B83053"/>
    <w:rsid w:val="00B839F5"/>
    <w:rsid w:val="00B869D3"/>
    <w:rsid w:val="00B91188"/>
    <w:rsid w:val="00B9335F"/>
    <w:rsid w:val="00B93A93"/>
    <w:rsid w:val="00B965DF"/>
    <w:rsid w:val="00B96B67"/>
    <w:rsid w:val="00B979DF"/>
    <w:rsid w:val="00BA0125"/>
    <w:rsid w:val="00BB0A95"/>
    <w:rsid w:val="00BB1D01"/>
    <w:rsid w:val="00BB1D29"/>
    <w:rsid w:val="00BB4C3C"/>
    <w:rsid w:val="00BB59D2"/>
    <w:rsid w:val="00BC2DC9"/>
    <w:rsid w:val="00BC46A3"/>
    <w:rsid w:val="00BD0C3C"/>
    <w:rsid w:val="00BD5A29"/>
    <w:rsid w:val="00BD7C1D"/>
    <w:rsid w:val="00BE055F"/>
    <w:rsid w:val="00BE3519"/>
    <w:rsid w:val="00BE679E"/>
    <w:rsid w:val="00BF4D03"/>
    <w:rsid w:val="00BF5031"/>
    <w:rsid w:val="00BF5E96"/>
    <w:rsid w:val="00BF69EA"/>
    <w:rsid w:val="00BF6DA1"/>
    <w:rsid w:val="00C014BD"/>
    <w:rsid w:val="00C01800"/>
    <w:rsid w:val="00C031BF"/>
    <w:rsid w:val="00C0438B"/>
    <w:rsid w:val="00C05806"/>
    <w:rsid w:val="00C06DB5"/>
    <w:rsid w:val="00C0787B"/>
    <w:rsid w:val="00C214E8"/>
    <w:rsid w:val="00C2209E"/>
    <w:rsid w:val="00C24C35"/>
    <w:rsid w:val="00C252D3"/>
    <w:rsid w:val="00C308BE"/>
    <w:rsid w:val="00C309CC"/>
    <w:rsid w:val="00C327D5"/>
    <w:rsid w:val="00C4135B"/>
    <w:rsid w:val="00C441F6"/>
    <w:rsid w:val="00C47E20"/>
    <w:rsid w:val="00C5032D"/>
    <w:rsid w:val="00C54DDB"/>
    <w:rsid w:val="00C550A1"/>
    <w:rsid w:val="00C56002"/>
    <w:rsid w:val="00C5733D"/>
    <w:rsid w:val="00C67FB1"/>
    <w:rsid w:val="00C708B9"/>
    <w:rsid w:val="00C7715D"/>
    <w:rsid w:val="00C80DBD"/>
    <w:rsid w:val="00C81102"/>
    <w:rsid w:val="00C81674"/>
    <w:rsid w:val="00C86E07"/>
    <w:rsid w:val="00C91B93"/>
    <w:rsid w:val="00C96969"/>
    <w:rsid w:val="00C96C87"/>
    <w:rsid w:val="00CA0512"/>
    <w:rsid w:val="00CA0BAA"/>
    <w:rsid w:val="00CA2468"/>
    <w:rsid w:val="00CB3902"/>
    <w:rsid w:val="00CB39C2"/>
    <w:rsid w:val="00CB43A0"/>
    <w:rsid w:val="00CB57EA"/>
    <w:rsid w:val="00CB654E"/>
    <w:rsid w:val="00CC65F2"/>
    <w:rsid w:val="00CD03A2"/>
    <w:rsid w:val="00CD03A6"/>
    <w:rsid w:val="00CD1C58"/>
    <w:rsid w:val="00CD4BE8"/>
    <w:rsid w:val="00CD61E8"/>
    <w:rsid w:val="00CD7289"/>
    <w:rsid w:val="00CD72F3"/>
    <w:rsid w:val="00CE29DB"/>
    <w:rsid w:val="00CE2CCE"/>
    <w:rsid w:val="00CE3318"/>
    <w:rsid w:val="00CE34A3"/>
    <w:rsid w:val="00CF0019"/>
    <w:rsid w:val="00CF2E19"/>
    <w:rsid w:val="00CF5CF4"/>
    <w:rsid w:val="00D002D8"/>
    <w:rsid w:val="00D075E3"/>
    <w:rsid w:val="00D07B20"/>
    <w:rsid w:val="00D10062"/>
    <w:rsid w:val="00D136FE"/>
    <w:rsid w:val="00D14D61"/>
    <w:rsid w:val="00D151E1"/>
    <w:rsid w:val="00D15A2C"/>
    <w:rsid w:val="00D20FD9"/>
    <w:rsid w:val="00D2228E"/>
    <w:rsid w:val="00D249AC"/>
    <w:rsid w:val="00D251A5"/>
    <w:rsid w:val="00D262F6"/>
    <w:rsid w:val="00D279BD"/>
    <w:rsid w:val="00D31327"/>
    <w:rsid w:val="00D32923"/>
    <w:rsid w:val="00D350F5"/>
    <w:rsid w:val="00D35903"/>
    <w:rsid w:val="00D37EAA"/>
    <w:rsid w:val="00D5222D"/>
    <w:rsid w:val="00D614C1"/>
    <w:rsid w:val="00D62378"/>
    <w:rsid w:val="00D64252"/>
    <w:rsid w:val="00D67943"/>
    <w:rsid w:val="00D67F51"/>
    <w:rsid w:val="00D8796F"/>
    <w:rsid w:val="00D91DB4"/>
    <w:rsid w:val="00D931FD"/>
    <w:rsid w:val="00D93824"/>
    <w:rsid w:val="00D946D8"/>
    <w:rsid w:val="00DA1609"/>
    <w:rsid w:val="00DA2FF5"/>
    <w:rsid w:val="00DA378B"/>
    <w:rsid w:val="00DA748C"/>
    <w:rsid w:val="00DB0C14"/>
    <w:rsid w:val="00DB2D3B"/>
    <w:rsid w:val="00DB34EF"/>
    <w:rsid w:val="00DB5550"/>
    <w:rsid w:val="00DC0B32"/>
    <w:rsid w:val="00DC1081"/>
    <w:rsid w:val="00DC1424"/>
    <w:rsid w:val="00DC2AE5"/>
    <w:rsid w:val="00DC2E62"/>
    <w:rsid w:val="00DC5022"/>
    <w:rsid w:val="00DC7192"/>
    <w:rsid w:val="00DD129E"/>
    <w:rsid w:val="00DD1683"/>
    <w:rsid w:val="00DD1CED"/>
    <w:rsid w:val="00DD1FC3"/>
    <w:rsid w:val="00DD27DE"/>
    <w:rsid w:val="00DD343B"/>
    <w:rsid w:val="00DD4701"/>
    <w:rsid w:val="00DD730A"/>
    <w:rsid w:val="00DE3D15"/>
    <w:rsid w:val="00DE4628"/>
    <w:rsid w:val="00DE5832"/>
    <w:rsid w:val="00DE72D0"/>
    <w:rsid w:val="00DE7308"/>
    <w:rsid w:val="00DF09F5"/>
    <w:rsid w:val="00DF1A49"/>
    <w:rsid w:val="00DF6343"/>
    <w:rsid w:val="00E015AF"/>
    <w:rsid w:val="00E02782"/>
    <w:rsid w:val="00E04523"/>
    <w:rsid w:val="00E051EA"/>
    <w:rsid w:val="00E068B1"/>
    <w:rsid w:val="00E11399"/>
    <w:rsid w:val="00E12BFE"/>
    <w:rsid w:val="00E13E60"/>
    <w:rsid w:val="00E20C93"/>
    <w:rsid w:val="00E21CD6"/>
    <w:rsid w:val="00E22AD0"/>
    <w:rsid w:val="00E24F0D"/>
    <w:rsid w:val="00E254A4"/>
    <w:rsid w:val="00E26906"/>
    <w:rsid w:val="00E276E6"/>
    <w:rsid w:val="00E332EC"/>
    <w:rsid w:val="00E35207"/>
    <w:rsid w:val="00E37BA0"/>
    <w:rsid w:val="00E42D5F"/>
    <w:rsid w:val="00E444C0"/>
    <w:rsid w:val="00E45136"/>
    <w:rsid w:val="00E503B7"/>
    <w:rsid w:val="00E509FF"/>
    <w:rsid w:val="00E538DD"/>
    <w:rsid w:val="00E55442"/>
    <w:rsid w:val="00E6027D"/>
    <w:rsid w:val="00E6081E"/>
    <w:rsid w:val="00E63928"/>
    <w:rsid w:val="00E652B6"/>
    <w:rsid w:val="00E655F6"/>
    <w:rsid w:val="00E75F58"/>
    <w:rsid w:val="00E814C6"/>
    <w:rsid w:val="00E92FDC"/>
    <w:rsid w:val="00E960F3"/>
    <w:rsid w:val="00EA2652"/>
    <w:rsid w:val="00EB1F27"/>
    <w:rsid w:val="00EB2692"/>
    <w:rsid w:val="00EB3470"/>
    <w:rsid w:val="00EB4BDB"/>
    <w:rsid w:val="00EB4D96"/>
    <w:rsid w:val="00EB641D"/>
    <w:rsid w:val="00EB70C0"/>
    <w:rsid w:val="00EC2F8D"/>
    <w:rsid w:val="00EC3849"/>
    <w:rsid w:val="00EC3EAB"/>
    <w:rsid w:val="00EC5D88"/>
    <w:rsid w:val="00ED1FF7"/>
    <w:rsid w:val="00ED4564"/>
    <w:rsid w:val="00ED68C2"/>
    <w:rsid w:val="00ED7D54"/>
    <w:rsid w:val="00EE3A1E"/>
    <w:rsid w:val="00EE3FD6"/>
    <w:rsid w:val="00EE420A"/>
    <w:rsid w:val="00EE54D8"/>
    <w:rsid w:val="00EF22BF"/>
    <w:rsid w:val="00EF3535"/>
    <w:rsid w:val="00EF4E0F"/>
    <w:rsid w:val="00EF79F0"/>
    <w:rsid w:val="00EF7E83"/>
    <w:rsid w:val="00F006EA"/>
    <w:rsid w:val="00F01B68"/>
    <w:rsid w:val="00F063E5"/>
    <w:rsid w:val="00F06531"/>
    <w:rsid w:val="00F13725"/>
    <w:rsid w:val="00F14602"/>
    <w:rsid w:val="00F1634B"/>
    <w:rsid w:val="00F21AEB"/>
    <w:rsid w:val="00F23305"/>
    <w:rsid w:val="00F30090"/>
    <w:rsid w:val="00F31298"/>
    <w:rsid w:val="00F33B14"/>
    <w:rsid w:val="00F35D69"/>
    <w:rsid w:val="00F36F38"/>
    <w:rsid w:val="00F3730B"/>
    <w:rsid w:val="00F43196"/>
    <w:rsid w:val="00F45BD7"/>
    <w:rsid w:val="00F46630"/>
    <w:rsid w:val="00F502C7"/>
    <w:rsid w:val="00F5210B"/>
    <w:rsid w:val="00F52526"/>
    <w:rsid w:val="00F57251"/>
    <w:rsid w:val="00F67B82"/>
    <w:rsid w:val="00F7570D"/>
    <w:rsid w:val="00F770E4"/>
    <w:rsid w:val="00F812B8"/>
    <w:rsid w:val="00F859D0"/>
    <w:rsid w:val="00F864EE"/>
    <w:rsid w:val="00F87C40"/>
    <w:rsid w:val="00F904D0"/>
    <w:rsid w:val="00FA22FE"/>
    <w:rsid w:val="00FA2994"/>
    <w:rsid w:val="00FA46B8"/>
    <w:rsid w:val="00FA7037"/>
    <w:rsid w:val="00FB2123"/>
    <w:rsid w:val="00FB246D"/>
    <w:rsid w:val="00FB366B"/>
    <w:rsid w:val="00FB3CA8"/>
    <w:rsid w:val="00FB50B4"/>
    <w:rsid w:val="00FB698E"/>
    <w:rsid w:val="00FC3016"/>
    <w:rsid w:val="00FC4ABB"/>
    <w:rsid w:val="00FC5737"/>
    <w:rsid w:val="00FC7FE5"/>
    <w:rsid w:val="00FD40AE"/>
    <w:rsid w:val="00FD54DA"/>
    <w:rsid w:val="00FE225B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D68C9"/>
  <w15:docId w15:val="{F698BF34-6016-4879-9DA8-C0B77080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F09F5"/>
    <w:pPr>
      <w:spacing w:after="0" w:line="240" w:lineRule="auto"/>
    </w:pPr>
    <w:rPr>
      <w:rFonts w:ascii="Arial" w:eastAsia="Times New Roman" w:hAnsi="Arial" w:cs="Arial"/>
      <w:sz w:val="5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09F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8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98"/>
  </w:style>
  <w:style w:type="paragraph" w:styleId="Footer">
    <w:name w:val="footer"/>
    <w:basedOn w:val="Normal"/>
    <w:link w:val="FooterChar"/>
    <w:uiPriority w:val="99"/>
    <w:unhideWhenUsed/>
    <w:rsid w:val="005F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98"/>
  </w:style>
  <w:style w:type="character" w:styleId="Hyperlink">
    <w:name w:val="Hyperlink"/>
    <w:basedOn w:val="DefaultParagraphFont"/>
    <w:uiPriority w:val="99"/>
    <w:unhideWhenUsed/>
    <w:rsid w:val="0001112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hsfincounseling@holycrosshealth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D69FFFA5C9E48852DEC31FF59BB02" ma:contentTypeVersion="14" ma:contentTypeDescription="Create a new document." ma:contentTypeScope="" ma:versionID="f6572c2b0f35bf5867020f35e2df1acf">
  <xsd:schema xmlns:xsd="http://www.w3.org/2001/XMLSchema" xmlns:xs="http://www.w3.org/2001/XMLSchema" xmlns:p="http://schemas.microsoft.com/office/2006/metadata/properties" xmlns:ns3="37bf2fad-5940-44e9-bbea-e669ae3289e1" xmlns:ns4="6de8aaac-9d54-4f0d-b564-c6a9647f2a0c" targetNamespace="http://schemas.microsoft.com/office/2006/metadata/properties" ma:root="true" ma:fieldsID="e59a89c1762a6d8057734fcb8160bac8" ns3:_="" ns4:_="">
    <xsd:import namespace="37bf2fad-5940-44e9-bbea-e669ae3289e1"/>
    <xsd:import namespace="6de8aaac-9d54-4f0d-b564-c6a9647f2a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2fad-5940-44e9-bbea-e669ae328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aaac-9d54-4f0d-b564-c6a9647f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8aaac-9d54-4f0d-b564-c6a9647f2a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187D-02D7-41D2-95FD-E385F865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f2fad-5940-44e9-bbea-e669ae3289e1"/>
    <ds:schemaRef ds:uri="6de8aaac-9d54-4f0d-b564-c6a9647f2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6FBA3-0798-4608-BF5A-338EDDAB6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47E2F-8EAC-476D-8DFF-1E478150FB5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6de8aaac-9d54-4f0d-b564-c6a9647f2a0c"/>
    <ds:schemaRef ds:uri="http://purl.org/dc/elements/1.1/"/>
    <ds:schemaRef ds:uri="http://purl.org/dc/terms/"/>
    <ds:schemaRef ds:uri="37bf2fad-5940-44e9-bbea-e669ae3289e1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4DBD19E-1654-4D84-8C22-1D3CDC64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1243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table below provides the historical range of charges for the most commonly used inpatient and outpatient services at Holy Cross Hospital, and the average charge for the service</vt:lpstr>
    </vt:vector>
  </TitlesOfParts>
  <Company>Trinity Health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table below provides the historical range of charges for the most commonly used inpatient and outpatient services at Holy Cross Hospital, and the average charge for the service</dc:title>
  <dc:creator>Jerry Hartke</dc:creator>
  <cp:lastModifiedBy>Jie Yu</cp:lastModifiedBy>
  <cp:revision>22</cp:revision>
  <cp:lastPrinted>2020-02-17T16:58:00Z</cp:lastPrinted>
  <dcterms:created xsi:type="dcterms:W3CDTF">2024-02-05T20:40:00Z</dcterms:created>
  <dcterms:modified xsi:type="dcterms:W3CDTF">2024-05-16T13:38:00Z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-1294838702</vt:i4>
  </property>
  <property fmtid="{D5CDD505-2E9C-101B-9397-08002B2CF9AE}" pid="3" name="ContentTypeId">
    <vt:lpwstr>0x0101005C3D69FFFA5C9E48852DEC31FF59BB02</vt:lpwstr>
  </property>
</Properties>
</file>